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8539A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center"/>
        <w:rPr>
          <w:rFonts w:hint="eastAsia" w:ascii="黑体" w:hAnsi="黑体" w:eastAsia="黑体" w:cs="黑体"/>
          <w:b/>
          <w:sz w:val="36"/>
          <w:szCs w:val="36"/>
          <w:lang w:val="en-US" w:eastAsia="zh-CN"/>
        </w:rPr>
      </w:pPr>
      <w:r>
        <w:rPr>
          <w:rFonts w:hint="eastAsia" w:ascii="黑体" w:hAnsi="黑体" w:eastAsia="黑体" w:cs="黑体"/>
          <w:b/>
          <w:sz w:val="36"/>
          <w:szCs w:val="36"/>
          <w:lang w:val="en-US" w:eastAsia="zh-CN"/>
        </w:rPr>
        <w:t xml:space="preserve">人工智能与信息安全学院 </w:t>
      </w:r>
    </w:p>
    <w:p w14:paraId="42203AE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center"/>
        <w:rPr>
          <w:rFonts w:hint="eastAsia" w:ascii="黑体" w:hAnsi="黑体" w:eastAsia="黑体" w:cs="黑体"/>
          <w:b/>
          <w:sz w:val="36"/>
          <w:szCs w:val="36"/>
          <w:lang w:val="en-US" w:eastAsia="zh-CN"/>
        </w:rPr>
      </w:pPr>
      <w:r>
        <w:rPr>
          <w:rFonts w:hint="eastAsia" w:ascii="黑体" w:hAnsi="黑体" w:eastAsia="黑体" w:cs="黑体"/>
          <w:b/>
          <w:sz w:val="36"/>
          <w:szCs w:val="36"/>
          <w:lang w:val="en-US" w:eastAsia="zh-CN"/>
        </w:rPr>
        <w:t>2025-2026 学年第二学期学生转专业工作实施方案</w:t>
      </w:r>
    </w:p>
    <w:p w14:paraId="624C3E8E">
      <w:pPr>
        <w:rPr>
          <w:rFonts w:hint="eastAsia"/>
          <w:lang w:val="en-US" w:eastAsia="zh-CN"/>
        </w:rPr>
      </w:pPr>
    </w:p>
    <w:p w14:paraId="52674861">
      <w:pPr>
        <w:spacing w:line="640" w:lineRule="exact"/>
        <w:ind w:firstLine="640" w:firstLineChars="200"/>
        <w:jc w:val="left"/>
        <w:rPr>
          <w:rFonts w:hint="eastAsia" w:ascii="仿宋_GB2312" w:hAnsi="仿宋" w:eastAsia="仿宋_GB2312" w:cs="宋体"/>
          <w:sz w:val="32"/>
          <w:szCs w:val="32"/>
        </w:rPr>
      </w:pPr>
      <w:r>
        <w:rPr>
          <w:rFonts w:hint="eastAsia" w:ascii="仿宋_GB2312" w:hAnsi="仿宋" w:eastAsia="仿宋_GB2312" w:cs="宋体"/>
          <w:sz w:val="32"/>
          <w:szCs w:val="32"/>
        </w:rPr>
        <w:t>根据《重庆人文科技学院学生转专业管理办法（修订）》（重人科〔2025〕83 号）《重庆人文科技学院教务处关于 20</w:t>
      </w:r>
      <w:bookmarkStart w:id="0" w:name="_GoBack"/>
      <w:bookmarkEnd w:id="0"/>
      <w:r>
        <w:rPr>
          <w:rFonts w:hint="eastAsia" w:ascii="仿宋_GB2312" w:hAnsi="仿宋" w:eastAsia="仿宋_GB2312" w:cs="宋体"/>
          <w:sz w:val="32"/>
          <w:szCs w:val="32"/>
        </w:rPr>
        <w:t>25-2026 学年第二学期学生转专业工作的通知》（教务函 [2026] 2 号）等文件精神，结合学院实际，制定本方案。</w:t>
      </w:r>
    </w:p>
    <w:p w14:paraId="09F97949">
      <w:pPr>
        <w:spacing w:line="640" w:lineRule="exact"/>
        <w:ind w:firstLine="643" w:firstLineChars="200"/>
        <w:jc w:val="left"/>
        <w:rPr>
          <w:rFonts w:hint="eastAsia" w:ascii="仿宋_GB2312" w:hAnsi="仿宋" w:eastAsia="仿宋_GB2312" w:cs="宋体"/>
          <w:b/>
          <w:bCs/>
          <w:sz w:val="32"/>
          <w:szCs w:val="32"/>
        </w:rPr>
      </w:pPr>
      <w:r>
        <w:rPr>
          <w:rFonts w:hint="eastAsia" w:ascii="仿宋_GB2312" w:hAnsi="仿宋" w:eastAsia="仿宋_GB2312" w:cs="宋体"/>
          <w:b/>
          <w:bCs/>
          <w:sz w:val="32"/>
          <w:szCs w:val="32"/>
        </w:rPr>
        <w:t>一、组织机构</w:t>
      </w:r>
    </w:p>
    <w:p w14:paraId="7068930D">
      <w:pPr>
        <w:spacing w:line="640" w:lineRule="exact"/>
        <w:ind w:firstLine="640" w:firstLineChars="200"/>
        <w:jc w:val="left"/>
        <w:rPr>
          <w:rFonts w:hint="eastAsia" w:ascii="仿宋_GB2312" w:hAnsi="仿宋" w:eastAsia="仿宋_GB2312" w:cs="宋体"/>
          <w:sz w:val="32"/>
          <w:szCs w:val="32"/>
        </w:rPr>
      </w:pPr>
      <w:r>
        <w:rPr>
          <w:rFonts w:hint="eastAsia" w:ascii="仿宋_GB2312" w:hAnsi="仿宋" w:eastAsia="仿宋_GB2312" w:cs="宋体"/>
          <w:sz w:val="32"/>
          <w:szCs w:val="32"/>
        </w:rPr>
        <w:t>（一）领导小组</w:t>
      </w:r>
    </w:p>
    <w:p w14:paraId="1A2EF7D9">
      <w:pPr>
        <w:spacing w:line="640" w:lineRule="exact"/>
        <w:ind w:firstLine="640" w:firstLineChars="200"/>
        <w:jc w:val="left"/>
        <w:rPr>
          <w:rFonts w:hint="eastAsia" w:ascii="仿宋_GB2312" w:hAnsi="仿宋" w:eastAsia="仿宋_GB2312" w:cs="宋体"/>
          <w:sz w:val="32"/>
          <w:szCs w:val="32"/>
        </w:rPr>
      </w:pPr>
      <w:r>
        <w:rPr>
          <w:rFonts w:hint="eastAsia" w:ascii="仿宋_GB2312" w:hAnsi="仿宋" w:eastAsia="仿宋_GB2312" w:cs="宋体"/>
          <w:sz w:val="32"/>
          <w:szCs w:val="32"/>
        </w:rPr>
        <w:t>学院成立转专业工作领导小组，制定学生转专业工作方案，确定接收条件、考核内容、考核方式和考核时间等。</w:t>
      </w:r>
    </w:p>
    <w:p w14:paraId="37C6B867">
      <w:pPr>
        <w:spacing w:line="640" w:lineRule="exact"/>
        <w:ind w:firstLine="640" w:firstLineChars="200"/>
        <w:jc w:val="left"/>
        <w:rPr>
          <w:rFonts w:hint="eastAsia" w:ascii="仿宋_GB2312" w:hAnsi="仿宋" w:eastAsia="仿宋_GB2312" w:cs="宋体"/>
          <w:sz w:val="32"/>
          <w:szCs w:val="32"/>
        </w:rPr>
      </w:pPr>
      <w:r>
        <w:rPr>
          <w:rFonts w:hint="eastAsia" w:ascii="仿宋_GB2312" w:hAnsi="仿宋" w:eastAsia="仿宋_GB2312" w:cs="宋体"/>
          <w:sz w:val="32"/>
          <w:szCs w:val="32"/>
        </w:rPr>
        <w:t>组 长：陈滢生 李卓兴</w:t>
      </w:r>
    </w:p>
    <w:p w14:paraId="1BC5F380">
      <w:pPr>
        <w:spacing w:line="640" w:lineRule="exact"/>
        <w:ind w:firstLine="640" w:firstLineChars="200"/>
        <w:jc w:val="left"/>
        <w:rPr>
          <w:rFonts w:hint="eastAsia" w:ascii="仿宋_GB2312" w:hAnsi="仿宋" w:eastAsia="仿宋_GB2312" w:cs="宋体"/>
          <w:sz w:val="32"/>
          <w:szCs w:val="32"/>
        </w:rPr>
      </w:pPr>
      <w:r>
        <w:rPr>
          <w:rFonts w:hint="eastAsia" w:ascii="仿宋_GB2312" w:hAnsi="仿宋" w:eastAsia="仿宋_GB2312" w:cs="宋体"/>
          <w:sz w:val="32"/>
          <w:szCs w:val="32"/>
        </w:rPr>
        <w:t>副组长：孙宝刚 郭兆彬</w:t>
      </w:r>
    </w:p>
    <w:p w14:paraId="2BD78C2B">
      <w:pPr>
        <w:spacing w:line="640" w:lineRule="exact"/>
        <w:ind w:firstLine="640" w:firstLineChars="200"/>
        <w:jc w:val="left"/>
        <w:rPr>
          <w:rFonts w:hint="eastAsia" w:ascii="仿宋_GB2312" w:hAnsi="仿宋" w:eastAsia="仿宋_GB2312" w:cs="宋体"/>
          <w:sz w:val="32"/>
          <w:szCs w:val="32"/>
        </w:rPr>
      </w:pPr>
      <w:r>
        <w:rPr>
          <w:rFonts w:hint="eastAsia" w:ascii="仿宋_GB2312" w:hAnsi="仿宋" w:eastAsia="仿宋_GB2312" w:cs="宋体"/>
          <w:sz w:val="32"/>
          <w:szCs w:val="32"/>
        </w:rPr>
        <w:t>（二）考核小组</w:t>
      </w:r>
    </w:p>
    <w:p w14:paraId="14F89165">
      <w:pPr>
        <w:spacing w:line="640" w:lineRule="exact"/>
        <w:ind w:firstLine="640" w:firstLineChars="200"/>
        <w:jc w:val="left"/>
        <w:rPr>
          <w:rFonts w:hint="eastAsia" w:ascii="仿宋_GB2312" w:hAnsi="仿宋" w:eastAsia="仿宋_GB2312" w:cs="宋体"/>
          <w:sz w:val="32"/>
          <w:szCs w:val="32"/>
        </w:rPr>
      </w:pPr>
      <w:r>
        <w:rPr>
          <w:rFonts w:hint="eastAsia" w:ascii="仿宋_GB2312" w:hAnsi="仿宋" w:eastAsia="仿宋_GB2312" w:cs="宋体"/>
          <w:sz w:val="32"/>
          <w:szCs w:val="32"/>
        </w:rPr>
        <w:t>学院成立考核工作小组，负责按工作方案组织实施考核及提出拟接收学生的名单。</w:t>
      </w:r>
    </w:p>
    <w:p w14:paraId="399A4858">
      <w:pPr>
        <w:spacing w:line="640" w:lineRule="exact"/>
        <w:ind w:firstLine="640" w:firstLineChars="200"/>
        <w:jc w:val="left"/>
        <w:rPr>
          <w:rFonts w:hint="eastAsia" w:ascii="仿宋_GB2312" w:hAnsi="仿宋" w:eastAsia="仿宋_GB2312" w:cs="宋体"/>
          <w:sz w:val="32"/>
          <w:szCs w:val="32"/>
        </w:rPr>
      </w:pPr>
      <w:r>
        <w:rPr>
          <w:rFonts w:hint="eastAsia" w:ascii="仿宋_GB2312" w:hAnsi="仿宋" w:eastAsia="仿宋_GB2312" w:cs="宋体"/>
          <w:sz w:val="32"/>
          <w:szCs w:val="32"/>
        </w:rPr>
        <w:t>组 长：陈滢生</w:t>
      </w:r>
    </w:p>
    <w:p w14:paraId="26901428">
      <w:pPr>
        <w:spacing w:line="640" w:lineRule="exact"/>
        <w:ind w:firstLine="640" w:firstLineChars="200"/>
        <w:jc w:val="left"/>
        <w:rPr>
          <w:rFonts w:hint="eastAsia" w:ascii="仿宋_GB2312" w:hAnsi="仿宋" w:eastAsia="仿宋_GB2312" w:cs="宋体"/>
          <w:sz w:val="32"/>
          <w:szCs w:val="32"/>
        </w:rPr>
      </w:pPr>
      <w:r>
        <w:rPr>
          <w:rFonts w:hint="eastAsia" w:ascii="仿宋_GB2312" w:hAnsi="仿宋" w:eastAsia="仿宋_GB2312" w:cs="宋体"/>
          <w:sz w:val="32"/>
          <w:szCs w:val="32"/>
        </w:rPr>
        <w:t>副组长：孙宝刚 郭兆彬</w:t>
      </w:r>
    </w:p>
    <w:p w14:paraId="0AA7526C">
      <w:pPr>
        <w:spacing w:line="640" w:lineRule="exact"/>
        <w:ind w:firstLine="640" w:firstLineChars="200"/>
        <w:jc w:val="left"/>
        <w:rPr>
          <w:rFonts w:hint="eastAsia" w:ascii="仿宋_GB2312" w:hAnsi="仿宋" w:eastAsia="仿宋_GB2312" w:cs="宋体"/>
          <w:sz w:val="32"/>
          <w:szCs w:val="32"/>
        </w:rPr>
      </w:pPr>
      <w:r>
        <w:rPr>
          <w:rFonts w:hint="eastAsia" w:ascii="仿宋_GB2312" w:hAnsi="仿宋" w:eastAsia="仿宋_GB2312" w:cs="宋体"/>
          <w:sz w:val="32"/>
          <w:szCs w:val="32"/>
        </w:rPr>
        <w:t>成 员：张俊 张扬 谢翌 江渝川 蒋建华</w:t>
      </w:r>
      <w:r>
        <w:rPr>
          <w:rFonts w:hint="eastAsia" w:ascii="仿宋_GB2312" w:hAnsi="仿宋" w:eastAsia="仿宋_GB2312" w:cs="宋体"/>
          <w:sz w:val="32"/>
          <w:szCs w:val="32"/>
          <w:lang w:val="en-US" w:eastAsia="zh-CN"/>
        </w:rPr>
        <w:t xml:space="preserve"> </w:t>
      </w:r>
      <w:r>
        <w:rPr>
          <w:rFonts w:hint="eastAsia" w:ascii="仿宋_GB2312" w:hAnsi="仿宋" w:eastAsia="仿宋_GB2312" w:cs="宋体"/>
          <w:sz w:val="32"/>
          <w:szCs w:val="32"/>
        </w:rPr>
        <w:t>崔 义 马传龙 蒋春伦 闫小雪 荣霞</w:t>
      </w:r>
    </w:p>
    <w:p w14:paraId="6136934B">
      <w:pPr>
        <w:spacing w:line="640" w:lineRule="exact"/>
        <w:ind w:firstLine="643" w:firstLineChars="200"/>
        <w:jc w:val="left"/>
        <w:rPr>
          <w:rFonts w:hint="eastAsia" w:ascii="仿宋_GB2312" w:hAnsi="仿宋" w:eastAsia="仿宋_GB2312" w:cs="宋体"/>
          <w:b/>
          <w:bCs/>
          <w:sz w:val="32"/>
          <w:szCs w:val="32"/>
        </w:rPr>
      </w:pPr>
      <w:r>
        <w:rPr>
          <w:rFonts w:hint="eastAsia" w:ascii="仿宋_GB2312" w:hAnsi="仿宋" w:eastAsia="仿宋_GB2312" w:cs="宋体"/>
          <w:b/>
          <w:bCs/>
          <w:sz w:val="32"/>
          <w:szCs w:val="32"/>
        </w:rPr>
        <w:t>二、资格条件</w:t>
      </w:r>
    </w:p>
    <w:p w14:paraId="09D8C81B">
      <w:pPr>
        <w:spacing w:line="640" w:lineRule="exact"/>
        <w:ind w:firstLine="640" w:firstLineChars="200"/>
        <w:jc w:val="left"/>
        <w:rPr>
          <w:rFonts w:hint="eastAsia" w:ascii="仿宋_GB2312" w:hAnsi="仿宋" w:eastAsia="仿宋_GB2312" w:cs="宋体"/>
          <w:sz w:val="32"/>
          <w:szCs w:val="32"/>
        </w:rPr>
      </w:pPr>
      <w:r>
        <w:rPr>
          <w:rFonts w:hint="eastAsia" w:ascii="仿宋_GB2312" w:hAnsi="仿宋" w:eastAsia="仿宋_GB2312" w:cs="宋体"/>
          <w:sz w:val="32"/>
          <w:szCs w:val="32"/>
          <w:lang w:val="en-US" w:eastAsia="zh-CN"/>
        </w:rPr>
        <w:t>1.</w:t>
      </w:r>
      <w:r>
        <w:rPr>
          <w:rFonts w:hint="eastAsia" w:ascii="仿宋_GB2312" w:hAnsi="仿宋" w:eastAsia="仿宋_GB2312" w:cs="宋体"/>
          <w:sz w:val="32"/>
          <w:szCs w:val="32"/>
        </w:rPr>
        <w:t>学生转专业资格条件审查严格按照《重庆人文科技学院学生转专业管理办法（修订）》（重人科〔2025〕83 号）文件执行，申请转专业者</w:t>
      </w:r>
      <w:r>
        <w:rPr>
          <w:rFonts w:hint="eastAsia" w:ascii="仿宋_GB2312" w:hAnsi="仿宋" w:eastAsia="仿宋_GB2312" w:cs="宋体"/>
          <w:sz w:val="32"/>
          <w:szCs w:val="32"/>
          <w:lang w:eastAsia="zh-CN"/>
        </w:rPr>
        <w:t>（</w:t>
      </w:r>
      <w:r>
        <w:rPr>
          <w:rFonts w:hint="eastAsia" w:ascii="仿宋_GB2312" w:hAnsi="仿宋" w:eastAsia="仿宋_GB2312" w:cs="宋体"/>
          <w:sz w:val="32"/>
          <w:szCs w:val="32"/>
        </w:rPr>
        <w:t>退役军人除外</w:t>
      </w:r>
      <w:r>
        <w:rPr>
          <w:rFonts w:hint="eastAsia" w:ascii="仿宋_GB2312" w:hAnsi="仿宋" w:eastAsia="仿宋_GB2312" w:cs="宋体"/>
          <w:sz w:val="32"/>
          <w:szCs w:val="32"/>
          <w:lang w:eastAsia="zh-CN"/>
        </w:rPr>
        <w:t>）</w:t>
      </w:r>
      <w:r>
        <w:rPr>
          <w:rFonts w:hint="eastAsia" w:ascii="仿宋_GB2312" w:hAnsi="仿宋" w:eastAsia="仿宋_GB2312" w:cs="宋体"/>
          <w:sz w:val="32"/>
          <w:szCs w:val="32"/>
        </w:rPr>
        <w:t>高考成绩原则上不低于转入专业</w:t>
      </w:r>
      <w:r>
        <w:rPr>
          <w:rFonts w:hint="eastAsia" w:ascii="仿宋_GB2312" w:hAnsi="仿宋" w:eastAsia="仿宋_GB2312" w:cs="宋体"/>
          <w:sz w:val="32"/>
          <w:szCs w:val="32"/>
          <w:lang w:val="en-US" w:eastAsia="zh-CN"/>
        </w:rPr>
        <w:t>学</w:t>
      </w:r>
      <w:r>
        <w:rPr>
          <w:rFonts w:hint="eastAsia" w:ascii="仿宋_GB2312" w:hAnsi="仿宋" w:eastAsia="仿宋_GB2312" w:cs="宋体"/>
          <w:sz w:val="32"/>
          <w:szCs w:val="32"/>
        </w:rPr>
        <w:t>校当年实际录取最低分数。</w:t>
      </w:r>
    </w:p>
    <w:p w14:paraId="092BD61B">
      <w:pPr>
        <w:spacing w:line="640" w:lineRule="exact"/>
        <w:ind w:firstLine="640" w:firstLineChars="200"/>
        <w:jc w:val="left"/>
        <w:rPr>
          <w:rFonts w:hint="eastAsia" w:ascii="仿宋_GB2312" w:hAnsi="仿宋" w:eastAsia="仿宋_GB2312" w:cs="宋体"/>
          <w:sz w:val="32"/>
          <w:szCs w:val="32"/>
          <w:highlight w:val="none"/>
          <w:lang w:eastAsia="zh-CN"/>
        </w:rPr>
      </w:pPr>
      <w:r>
        <w:rPr>
          <w:rFonts w:hint="eastAsia" w:ascii="仿宋_GB2312" w:hAnsi="仿宋" w:eastAsia="仿宋_GB2312" w:cs="宋体"/>
          <w:sz w:val="32"/>
          <w:szCs w:val="32"/>
          <w:lang w:val="en-US" w:eastAsia="zh-CN"/>
        </w:rPr>
        <w:t>2.</w:t>
      </w:r>
      <w:r>
        <w:rPr>
          <w:rFonts w:hint="eastAsia" w:ascii="仿宋_GB2312" w:hAnsi="仿宋" w:eastAsia="仿宋_GB2312" w:cs="宋体"/>
          <w:sz w:val="32"/>
          <w:szCs w:val="32"/>
        </w:rPr>
        <w:t>未能达到转入专业高考录取最低分数的学生可申请破格转专业，</w:t>
      </w:r>
      <w:r>
        <w:rPr>
          <w:rFonts w:hint="eastAsia" w:ascii="仿宋_GB2312" w:hAnsi="仿宋" w:eastAsia="仿宋_GB2312" w:cs="宋体"/>
          <w:sz w:val="32"/>
          <w:szCs w:val="32"/>
          <w:lang w:val="en-US" w:eastAsia="zh-CN"/>
        </w:rPr>
        <w:t>须</w:t>
      </w:r>
      <w:r>
        <w:rPr>
          <w:rFonts w:hint="eastAsia" w:ascii="仿宋_GB2312" w:hAnsi="仿宋" w:eastAsia="仿宋_GB2312" w:cs="宋体"/>
          <w:sz w:val="32"/>
          <w:szCs w:val="32"/>
          <w:highlight w:val="none"/>
          <w:lang w:val="en-US" w:eastAsia="zh-CN"/>
        </w:rPr>
        <w:t>携带</w:t>
      </w:r>
      <w:r>
        <w:rPr>
          <w:rFonts w:hint="eastAsia" w:ascii="仿宋_GB2312" w:hAnsi="仿宋" w:eastAsia="仿宋_GB2312" w:cs="宋体"/>
          <w:sz w:val="32"/>
          <w:szCs w:val="32"/>
          <w:highlight w:val="none"/>
        </w:rPr>
        <w:t>相应</w:t>
      </w:r>
      <w:r>
        <w:rPr>
          <w:rFonts w:hint="eastAsia" w:ascii="仿宋_GB2312" w:hAnsi="仿宋" w:eastAsia="仿宋_GB2312" w:cs="宋体"/>
          <w:sz w:val="32"/>
          <w:szCs w:val="32"/>
          <w:highlight w:val="none"/>
          <w:lang w:val="en-US" w:eastAsia="zh-CN"/>
        </w:rPr>
        <w:t>证明</w:t>
      </w:r>
      <w:r>
        <w:rPr>
          <w:rFonts w:hint="eastAsia" w:ascii="仿宋_GB2312" w:hAnsi="仿宋" w:eastAsia="仿宋_GB2312" w:cs="宋体"/>
          <w:sz w:val="32"/>
          <w:szCs w:val="32"/>
          <w:highlight w:val="none"/>
        </w:rPr>
        <w:t>材料</w:t>
      </w:r>
      <w:r>
        <w:rPr>
          <w:rFonts w:hint="eastAsia" w:ascii="仿宋_GB2312" w:hAnsi="仿宋" w:eastAsia="仿宋_GB2312" w:cs="宋体"/>
          <w:sz w:val="32"/>
          <w:szCs w:val="32"/>
          <w:highlight w:val="none"/>
          <w:lang w:eastAsia="zh-CN"/>
        </w:rPr>
        <w:t>，</w:t>
      </w:r>
      <w:r>
        <w:rPr>
          <w:rFonts w:hint="eastAsia" w:ascii="仿宋_GB2312" w:hAnsi="仿宋" w:eastAsia="仿宋_GB2312" w:cs="宋体"/>
          <w:sz w:val="32"/>
          <w:szCs w:val="32"/>
          <w:highlight w:val="none"/>
        </w:rPr>
        <w:t>请于2026年3月6日前至教务处学籍与成绩管理科现场咨询（怀远楼 A 栋 210 办公室），破格转专业需满足以下条件之一</w:t>
      </w:r>
      <w:r>
        <w:rPr>
          <w:rFonts w:hint="eastAsia" w:ascii="仿宋_GB2312" w:hAnsi="仿宋" w:eastAsia="仿宋_GB2312" w:cs="宋体"/>
          <w:sz w:val="32"/>
          <w:szCs w:val="32"/>
          <w:highlight w:val="none"/>
          <w:lang w:eastAsia="zh-CN"/>
        </w:rPr>
        <w:t>：</w:t>
      </w:r>
    </w:p>
    <w:p w14:paraId="7893202E">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0" w:leftChars="0" w:firstLine="640" w:firstLineChars="200"/>
        <w:jc w:val="left"/>
        <w:textAlignment w:val="auto"/>
        <w:rPr>
          <w:rFonts w:hint="eastAsia" w:ascii="仿宋_GB2312" w:hAnsi="仿宋" w:eastAsia="仿宋_GB2312" w:cs="宋体"/>
          <w:sz w:val="32"/>
          <w:szCs w:val="32"/>
        </w:rPr>
      </w:pPr>
      <w:r>
        <w:rPr>
          <w:rFonts w:hint="default" w:ascii="仿宋_GB2312" w:hAnsi="仿宋" w:eastAsia="仿宋_GB2312" w:cs="宋体"/>
          <w:kern w:val="2"/>
          <w:sz w:val="32"/>
          <w:szCs w:val="32"/>
          <w:lang w:val="en-US" w:eastAsia="zh-CN" w:bidi="ar-SA"/>
        </w:rPr>
        <w:t>(1)</w:t>
      </w:r>
      <w:r>
        <w:rPr>
          <w:rFonts w:hint="eastAsia" w:ascii="仿宋_GB2312" w:hAnsi="仿宋" w:eastAsia="仿宋_GB2312" w:cs="宋体"/>
          <w:sz w:val="32"/>
          <w:szCs w:val="32"/>
        </w:rPr>
        <w:t>通识必修课绩点或平均绩点达到3.0及以上</w:t>
      </w:r>
      <w:r>
        <w:rPr>
          <w:rFonts w:hint="eastAsia" w:ascii="仿宋_GB2312" w:hAnsi="仿宋" w:eastAsia="仿宋_GB2312" w:cs="宋体"/>
          <w:sz w:val="32"/>
          <w:szCs w:val="32"/>
          <w:lang w:eastAsia="zh-CN"/>
        </w:rPr>
        <w:t>，</w:t>
      </w:r>
      <w:r>
        <w:rPr>
          <w:rFonts w:hint="eastAsia" w:ascii="仿宋_GB2312" w:hAnsi="仿宋" w:eastAsia="仿宋_GB2312" w:cs="宋体"/>
          <w:sz w:val="32"/>
          <w:szCs w:val="32"/>
          <w:lang w:val="en-US" w:eastAsia="zh-CN"/>
        </w:rPr>
        <w:t>须加盖转出学院公章</w:t>
      </w:r>
      <w:r>
        <w:rPr>
          <w:rFonts w:hint="eastAsia" w:ascii="仿宋_GB2312" w:hAnsi="仿宋" w:eastAsia="仿宋_GB2312" w:cs="宋体"/>
          <w:sz w:val="32"/>
          <w:szCs w:val="32"/>
        </w:rPr>
        <w:t>；</w:t>
      </w:r>
    </w:p>
    <w:p w14:paraId="19F24023">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0" w:leftChars="0" w:firstLine="640" w:firstLineChars="200"/>
        <w:jc w:val="left"/>
        <w:textAlignment w:val="auto"/>
        <w:rPr>
          <w:rFonts w:hint="eastAsia" w:ascii="仿宋_GB2312" w:hAnsi="仿宋" w:eastAsia="仿宋_GB2312" w:cs="宋体"/>
          <w:sz w:val="32"/>
          <w:szCs w:val="32"/>
        </w:rPr>
      </w:pPr>
      <w:r>
        <w:rPr>
          <w:rFonts w:hint="default" w:ascii="仿宋_GB2312" w:hAnsi="仿宋" w:eastAsia="仿宋_GB2312" w:cs="宋体"/>
          <w:kern w:val="2"/>
          <w:sz w:val="32"/>
          <w:szCs w:val="32"/>
          <w:lang w:val="en-US" w:eastAsia="zh-CN" w:bidi="ar-SA"/>
        </w:rPr>
        <w:t>(2)</w:t>
      </w:r>
      <w:r>
        <w:rPr>
          <w:rFonts w:hint="eastAsia" w:ascii="仿宋_GB2312" w:hAnsi="仿宋" w:eastAsia="仿宋_GB2312" w:cs="宋体"/>
          <w:sz w:val="32"/>
          <w:szCs w:val="32"/>
        </w:rPr>
        <w:t>高中阶段或大学在读期间参加市级及以上</w:t>
      </w:r>
      <w:r>
        <w:rPr>
          <w:rFonts w:hint="eastAsia" w:ascii="仿宋_GB2312" w:hAnsi="仿宋" w:eastAsia="仿宋_GB2312" w:cs="宋体"/>
          <w:sz w:val="32"/>
          <w:szCs w:val="32"/>
          <w:lang w:val="en-US" w:eastAsia="zh-CN"/>
        </w:rPr>
        <w:t>各类</w:t>
      </w:r>
      <w:r>
        <w:rPr>
          <w:rFonts w:hint="eastAsia" w:ascii="仿宋_GB2312" w:hAnsi="仿宋" w:eastAsia="仿宋_GB2312" w:cs="宋体"/>
          <w:sz w:val="32"/>
          <w:szCs w:val="32"/>
        </w:rPr>
        <w:t>比赛获</w:t>
      </w:r>
      <w:r>
        <w:rPr>
          <w:rFonts w:hint="eastAsia" w:ascii="仿宋_GB2312" w:hAnsi="仿宋" w:eastAsia="仿宋_GB2312" w:cs="宋体"/>
          <w:sz w:val="32"/>
          <w:szCs w:val="32"/>
          <w:lang w:val="en-US" w:eastAsia="zh-CN"/>
        </w:rPr>
        <w:t>三等奖及以上</w:t>
      </w:r>
      <w:r>
        <w:rPr>
          <w:rFonts w:hint="eastAsia" w:ascii="仿宋_GB2312" w:hAnsi="仿宋" w:eastAsia="仿宋_GB2312" w:cs="宋体"/>
          <w:sz w:val="32"/>
          <w:szCs w:val="32"/>
        </w:rPr>
        <w:t>或获得市级及以上荣誉称号</w:t>
      </w:r>
      <w:r>
        <w:rPr>
          <w:rFonts w:hint="eastAsia" w:ascii="仿宋_GB2312" w:hAnsi="仿宋" w:eastAsia="仿宋_GB2312" w:cs="宋体"/>
          <w:sz w:val="32"/>
          <w:szCs w:val="32"/>
          <w:lang w:eastAsia="zh-CN"/>
        </w:rPr>
        <w:t>（</w:t>
      </w:r>
      <w:r>
        <w:rPr>
          <w:rFonts w:hint="eastAsia" w:ascii="仿宋_GB2312" w:hAnsi="仿宋" w:eastAsia="仿宋_GB2312" w:cs="宋体"/>
          <w:sz w:val="32"/>
          <w:szCs w:val="32"/>
          <w:lang w:val="en-US" w:eastAsia="zh-CN"/>
        </w:rPr>
        <w:t>本人署名前3</w:t>
      </w:r>
      <w:r>
        <w:rPr>
          <w:rFonts w:hint="eastAsia" w:ascii="仿宋_GB2312" w:hAnsi="仿宋" w:eastAsia="仿宋_GB2312" w:cs="宋体"/>
          <w:sz w:val="32"/>
          <w:szCs w:val="32"/>
          <w:lang w:eastAsia="zh-CN"/>
        </w:rPr>
        <w:t>），</w:t>
      </w:r>
      <w:r>
        <w:rPr>
          <w:rFonts w:hint="eastAsia" w:ascii="仿宋_GB2312" w:hAnsi="仿宋" w:eastAsia="仿宋_GB2312" w:cs="宋体"/>
          <w:sz w:val="32"/>
          <w:szCs w:val="32"/>
          <w:lang w:val="en-US" w:eastAsia="zh-CN"/>
        </w:rPr>
        <w:t>须提供原件或扫描件</w:t>
      </w:r>
      <w:r>
        <w:rPr>
          <w:rFonts w:hint="eastAsia" w:ascii="仿宋_GB2312" w:hAnsi="仿宋" w:eastAsia="仿宋_GB2312" w:cs="宋体"/>
          <w:sz w:val="32"/>
          <w:szCs w:val="32"/>
        </w:rPr>
        <w:t>；</w:t>
      </w:r>
    </w:p>
    <w:p w14:paraId="6E72A0EB">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0" w:leftChars="0" w:firstLine="640" w:firstLineChars="200"/>
        <w:jc w:val="left"/>
        <w:textAlignment w:val="auto"/>
        <w:rPr>
          <w:rFonts w:hint="eastAsia" w:ascii="仿宋_GB2312" w:hAnsi="仿宋" w:eastAsia="仿宋_GB2312" w:cs="宋体"/>
          <w:sz w:val="32"/>
          <w:szCs w:val="32"/>
        </w:rPr>
      </w:pPr>
      <w:r>
        <w:rPr>
          <w:rFonts w:hint="eastAsia" w:ascii="仿宋_GB2312" w:hAnsi="仿宋" w:eastAsia="仿宋_GB2312" w:cs="宋体"/>
          <w:sz w:val="32"/>
          <w:szCs w:val="32"/>
          <w:lang w:val="en-US" w:eastAsia="zh-CN"/>
        </w:rPr>
        <w:t>(3)大学在读期间参与拟转入专业相关岗位实习累计30日及以上，并获得实习单位好评</w:t>
      </w:r>
      <w:r>
        <w:rPr>
          <w:rFonts w:hint="eastAsia" w:ascii="仿宋_GB2312" w:hAnsi="仿宋" w:eastAsia="仿宋_GB2312" w:cs="宋体"/>
          <w:sz w:val="32"/>
          <w:szCs w:val="32"/>
          <w:lang w:eastAsia="zh-CN"/>
        </w:rPr>
        <w:t>，</w:t>
      </w:r>
      <w:r>
        <w:rPr>
          <w:rFonts w:hint="eastAsia" w:ascii="仿宋_GB2312" w:hAnsi="仿宋" w:eastAsia="仿宋_GB2312" w:cs="宋体"/>
          <w:sz w:val="32"/>
          <w:szCs w:val="32"/>
          <w:lang w:val="en-US" w:eastAsia="zh-CN"/>
        </w:rPr>
        <w:t>须提供实习单位相应证明材料</w:t>
      </w:r>
      <w:r>
        <w:rPr>
          <w:rFonts w:hint="eastAsia" w:ascii="仿宋_GB2312" w:hAnsi="仿宋" w:eastAsia="仿宋_GB2312" w:cs="宋体"/>
          <w:sz w:val="32"/>
          <w:szCs w:val="32"/>
        </w:rPr>
        <w:t>；</w:t>
      </w:r>
    </w:p>
    <w:p w14:paraId="184848C4">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0" w:leftChars="0" w:firstLine="640" w:firstLineChars="200"/>
        <w:jc w:val="left"/>
        <w:textAlignment w:val="auto"/>
        <w:rPr>
          <w:rFonts w:hint="eastAsia" w:ascii="仿宋_GB2312" w:hAnsi="仿宋" w:eastAsia="仿宋_GB2312" w:cs="宋体"/>
          <w:sz w:val="32"/>
          <w:szCs w:val="32"/>
        </w:rPr>
      </w:pPr>
      <w:r>
        <w:rPr>
          <w:rFonts w:hint="eastAsia" w:ascii="仿宋_GB2312" w:hAnsi="仿宋" w:eastAsia="仿宋_GB2312" w:cs="宋体"/>
          <w:kern w:val="2"/>
          <w:sz w:val="32"/>
          <w:szCs w:val="32"/>
          <w:lang w:val="en-US" w:eastAsia="zh-CN" w:bidi="ar-SA"/>
        </w:rPr>
        <w:t>(4)</w:t>
      </w:r>
      <w:r>
        <w:rPr>
          <w:rFonts w:hint="eastAsia" w:ascii="仿宋_GB2312" w:hAnsi="仿宋" w:eastAsia="仿宋_GB2312" w:cs="宋体"/>
          <w:sz w:val="32"/>
          <w:szCs w:val="32"/>
        </w:rPr>
        <w:t>高中或大学在读期间发表拟转入专业相关论文、作品、文章、著作、获得专利、参与市级及以上科研项目等</w:t>
      </w:r>
      <w:r>
        <w:rPr>
          <w:rFonts w:hint="eastAsia" w:ascii="仿宋_GB2312" w:hAnsi="仿宋" w:eastAsia="仿宋_GB2312" w:cs="宋体"/>
          <w:sz w:val="32"/>
          <w:szCs w:val="32"/>
          <w:lang w:eastAsia="zh-CN"/>
        </w:rPr>
        <w:t>（</w:t>
      </w:r>
      <w:r>
        <w:rPr>
          <w:rFonts w:hint="eastAsia" w:ascii="仿宋_GB2312" w:hAnsi="仿宋" w:eastAsia="仿宋_GB2312" w:cs="宋体"/>
          <w:sz w:val="32"/>
          <w:szCs w:val="32"/>
          <w:lang w:val="en-US" w:eastAsia="zh-CN"/>
        </w:rPr>
        <w:t>本人署名前3</w:t>
      </w:r>
      <w:r>
        <w:rPr>
          <w:rFonts w:hint="eastAsia" w:ascii="仿宋_GB2312" w:hAnsi="仿宋" w:eastAsia="仿宋_GB2312" w:cs="宋体"/>
          <w:sz w:val="32"/>
          <w:szCs w:val="32"/>
          <w:lang w:eastAsia="zh-CN"/>
        </w:rPr>
        <w:t>），</w:t>
      </w:r>
      <w:r>
        <w:rPr>
          <w:rFonts w:hint="eastAsia" w:ascii="仿宋_GB2312" w:hAnsi="仿宋" w:eastAsia="仿宋_GB2312" w:cs="宋体"/>
          <w:sz w:val="32"/>
          <w:szCs w:val="32"/>
          <w:lang w:val="en-US" w:eastAsia="zh-CN"/>
        </w:rPr>
        <w:t>须提供相应证明材料原件或扫描件</w:t>
      </w:r>
      <w:r>
        <w:rPr>
          <w:rFonts w:hint="eastAsia" w:ascii="仿宋_GB2312" w:hAnsi="仿宋" w:eastAsia="仿宋_GB2312" w:cs="宋体"/>
          <w:sz w:val="32"/>
          <w:szCs w:val="32"/>
        </w:rPr>
        <w:t>；</w:t>
      </w:r>
    </w:p>
    <w:p w14:paraId="1F2176DC">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0" w:leftChars="0" w:firstLine="640" w:firstLineChars="200"/>
        <w:jc w:val="left"/>
        <w:textAlignment w:val="auto"/>
        <w:rPr>
          <w:rFonts w:hint="eastAsia" w:ascii="仿宋_GB2312" w:hAnsi="仿宋" w:eastAsia="仿宋_GB2312" w:cs="宋体"/>
          <w:sz w:val="32"/>
          <w:szCs w:val="32"/>
        </w:rPr>
      </w:pPr>
      <w:r>
        <w:rPr>
          <w:rFonts w:hint="eastAsia" w:ascii="仿宋_GB2312" w:hAnsi="仿宋" w:eastAsia="仿宋_GB2312" w:cs="宋体"/>
          <w:kern w:val="2"/>
          <w:sz w:val="32"/>
          <w:szCs w:val="32"/>
          <w:lang w:val="en-US" w:eastAsia="zh-CN" w:bidi="ar-SA"/>
        </w:rPr>
        <w:t>(5)</w:t>
      </w:r>
      <w:r>
        <w:rPr>
          <w:rFonts w:hint="eastAsia" w:ascii="仿宋_GB2312" w:hAnsi="仿宋" w:eastAsia="仿宋_GB2312" w:cs="宋体"/>
          <w:sz w:val="32"/>
          <w:szCs w:val="32"/>
        </w:rPr>
        <w:t>其他证明学生学有余力或拟转入专业能力的支撑材料</w:t>
      </w:r>
      <w:r>
        <w:rPr>
          <w:rFonts w:hint="eastAsia" w:ascii="仿宋_GB2312" w:hAnsi="仿宋" w:eastAsia="仿宋_GB2312" w:cs="宋体"/>
          <w:sz w:val="32"/>
          <w:szCs w:val="32"/>
          <w:lang w:val="en-US" w:eastAsia="zh-CN"/>
        </w:rPr>
        <w:t>(须提供相应证明材料原件或扫描件)</w:t>
      </w:r>
      <w:r>
        <w:rPr>
          <w:rFonts w:hint="eastAsia" w:ascii="仿宋_GB2312" w:hAnsi="仿宋" w:eastAsia="仿宋_GB2312" w:cs="宋体"/>
          <w:sz w:val="32"/>
          <w:szCs w:val="32"/>
        </w:rPr>
        <w:t>，需校务会讨论通过。</w:t>
      </w:r>
    </w:p>
    <w:p w14:paraId="4766AA76">
      <w:pPr>
        <w:spacing w:line="640" w:lineRule="exact"/>
        <w:ind w:firstLine="643" w:firstLineChars="200"/>
        <w:jc w:val="left"/>
        <w:rPr>
          <w:rFonts w:hint="eastAsia" w:ascii="仿宋_GB2312" w:hAnsi="仿宋" w:eastAsia="仿宋_GB2312" w:cs="宋体"/>
          <w:b/>
          <w:bCs/>
          <w:sz w:val="32"/>
          <w:szCs w:val="32"/>
        </w:rPr>
      </w:pPr>
      <w:r>
        <w:rPr>
          <w:rFonts w:hint="eastAsia" w:ascii="仿宋_GB2312" w:hAnsi="仿宋" w:eastAsia="仿宋_GB2312" w:cs="宋体"/>
          <w:b/>
          <w:bCs/>
          <w:sz w:val="32"/>
          <w:szCs w:val="32"/>
        </w:rPr>
        <w:t>三、转专业名额计划</w:t>
      </w:r>
    </w:p>
    <w:p w14:paraId="659AC403">
      <w:pPr>
        <w:spacing w:line="640" w:lineRule="exact"/>
        <w:ind w:firstLine="640" w:firstLineChars="200"/>
        <w:jc w:val="left"/>
        <w:rPr>
          <w:rFonts w:hint="eastAsia" w:ascii="仿宋_GB2312" w:hAnsi="仿宋" w:eastAsia="仿宋_GB2312" w:cs="宋体"/>
          <w:sz w:val="32"/>
          <w:szCs w:val="32"/>
        </w:rPr>
      </w:pPr>
      <w:r>
        <w:rPr>
          <w:rFonts w:hint="eastAsia" w:ascii="仿宋_GB2312" w:hAnsi="仿宋" w:eastAsia="仿宋_GB2312" w:cs="宋体"/>
          <w:sz w:val="32"/>
          <w:szCs w:val="32"/>
        </w:rPr>
        <w:t>原则上学校每学年转专业人数不超过学生总数的5%，学院不单独设定各专业具体接收名额，由学校根据办学条件、教学资源在全校范围内统筹分配转入名额，学院按照学校下达的总名额开展转专业接收工作。</w:t>
      </w:r>
    </w:p>
    <w:p w14:paraId="67960A75">
      <w:pPr>
        <w:spacing w:line="640" w:lineRule="exact"/>
        <w:ind w:firstLine="643" w:firstLineChars="200"/>
        <w:jc w:val="left"/>
        <w:rPr>
          <w:rFonts w:hint="eastAsia" w:ascii="仿宋_GB2312" w:hAnsi="仿宋" w:eastAsia="仿宋_GB2312" w:cs="宋体"/>
          <w:b/>
          <w:bCs/>
          <w:sz w:val="32"/>
          <w:szCs w:val="32"/>
        </w:rPr>
      </w:pPr>
      <w:r>
        <w:rPr>
          <w:rFonts w:hint="eastAsia" w:ascii="仿宋_GB2312" w:hAnsi="仿宋" w:eastAsia="仿宋_GB2312" w:cs="宋体"/>
          <w:b/>
          <w:bCs/>
          <w:sz w:val="32"/>
          <w:szCs w:val="32"/>
        </w:rPr>
        <w:t>四、转入专业要求</w:t>
      </w:r>
    </w:p>
    <w:p w14:paraId="080A4C64">
      <w:pPr>
        <w:spacing w:line="640" w:lineRule="exact"/>
        <w:ind w:firstLine="640" w:firstLineChars="200"/>
        <w:jc w:val="left"/>
        <w:rPr>
          <w:rFonts w:hint="eastAsia" w:ascii="仿宋_GB2312" w:hAnsi="仿宋" w:eastAsia="仿宋_GB2312" w:cs="宋体"/>
          <w:sz w:val="32"/>
          <w:szCs w:val="32"/>
        </w:rPr>
      </w:pPr>
      <w:r>
        <w:rPr>
          <w:rFonts w:hint="eastAsia" w:ascii="仿宋_GB2312" w:hAnsi="仿宋" w:eastAsia="仿宋_GB2312" w:cs="宋体"/>
          <w:sz w:val="32"/>
          <w:szCs w:val="32"/>
        </w:rPr>
        <w:t>学生报名只能选择转入到学院外专业或学院内专业，不能二者兼报，拟转入的学生须符合学校文件规定的基本条件及本方案要求。</w:t>
      </w:r>
    </w:p>
    <w:p w14:paraId="36D83BBA">
      <w:pPr>
        <w:spacing w:line="640" w:lineRule="exact"/>
        <w:ind w:firstLine="643" w:firstLineChars="200"/>
        <w:jc w:val="left"/>
        <w:rPr>
          <w:rFonts w:hint="eastAsia" w:ascii="仿宋_GB2312" w:hAnsi="仿宋" w:eastAsia="仿宋_GB2312" w:cs="宋体"/>
          <w:b/>
          <w:bCs/>
          <w:sz w:val="32"/>
          <w:szCs w:val="32"/>
        </w:rPr>
      </w:pPr>
      <w:r>
        <w:rPr>
          <w:rFonts w:hint="eastAsia" w:ascii="仿宋_GB2312" w:hAnsi="仿宋" w:eastAsia="仿宋_GB2312" w:cs="宋体"/>
          <w:b/>
          <w:bCs/>
          <w:sz w:val="32"/>
          <w:szCs w:val="32"/>
          <w:lang w:val="en-US" w:eastAsia="zh-CN"/>
        </w:rPr>
        <w:t>1.</w:t>
      </w:r>
      <w:r>
        <w:rPr>
          <w:rFonts w:hint="eastAsia" w:ascii="仿宋_GB2312" w:hAnsi="仿宋" w:eastAsia="仿宋_GB2312" w:cs="宋体"/>
          <w:b/>
          <w:bCs/>
          <w:sz w:val="32"/>
          <w:szCs w:val="32"/>
        </w:rPr>
        <w:t>转专业资格初审</w:t>
      </w:r>
    </w:p>
    <w:p w14:paraId="2EA171FD">
      <w:pPr>
        <w:spacing w:line="640" w:lineRule="exact"/>
        <w:ind w:firstLine="640" w:firstLineChars="200"/>
        <w:jc w:val="left"/>
        <w:rPr>
          <w:rFonts w:hint="eastAsia" w:ascii="仿宋_GB2312" w:hAnsi="仿宋" w:eastAsia="仿宋_GB2312" w:cs="宋体"/>
          <w:sz w:val="32"/>
          <w:szCs w:val="32"/>
        </w:rPr>
      </w:pPr>
      <w:r>
        <w:rPr>
          <w:rFonts w:hint="eastAsia" w:ascii="仿宋_GB2312" w:hAnsi="仿宋" w:eastAsia="仿宋_GB2312" w:cs="宋体"/>
          <w:sz w:val="32"/>
          <w:szCs w:val="32"/>
        </w:rPr>
        <w:t>转入的学生须符合学校文件规定的基本条件，满足高考成绩相关要求（破格转专业者除外），学院按照学校统筹的转入总计划，按初审合格人数与计划数1.5:1的比例从高到低公布参加转专业复试考核学生名单（若初审合格人数不足计划数，全部进入复试）。</w:t>
      </w:r>
    </w:p>
    <w:p w14:paraId="4F94AE54">
      <w:pPr>
        <w:spacing w:line="640" w:lineRule="exact"/>
        <w:ind w:firstLine="643" w:firstLineChars="200"/>
        <w:jc w:val="left"/>
        <w:rPr>
          <w:rFonts w:hint="eastAsia" w:ascii="仿宋_GB2312" w:hAnsi="仿宋" w:eastAsia="仿宋_GB2312" w:cs="宋体"/>
          <w:b/>
          <w:bCs/>
          <w:sz w:val="32"/>
          <w:szCs w:val="32"/>
          <w:lang w:val="en-US" w:eastAsia="zh-CN"/>
        </w:rPr>
      </w:pPr>
      <w:r>
        <w:rPr>
          <w:rFonts w:hint="eastAsia" w:ascii="仿宋_GB2312" w:hAnsi="仿宋" w:eastAsia="仿宋_GB2312" w:cs="宋体"/>
          <w:b/>
          <w:bCs/>
          <w:sz w:val="32"/>
          <w:szCs w:val="32"/>
          <w:lang w:val="en-US" w:eastAsia="zh-CN"/>
        </w:rPr>
        <w:t>2.转专业复试考核</w:t>
      </w:r>
    </w:p>
    <w:p w14:paraId="6674F226">
      <w:pPr>
        <w:spacing w:line="640" w:lineRule="exact"/>
        <w:ind w:firstLine="640" w:firstLineChars="200"/>
        <w:jc w:val="left"/>
        <w:rPr>
          <w:rFonts w:hint="eastAsia" w:ascii="仿宋_GB2312" w:hAnsi="仿宋" w:eastAsia="仿宋_GB2312" w:cs="宋体"/>
          <w:sz w:val="32"/>
          <w:szCs w:val="32"/>
        </w:rPr>
      </w:pPr>
      <w:r>
        <w:rPr>
          <w:rFonts w:hint="eastAsia" w:ascii="仿宋_GB2312" w:hAnsi="仿宋" w:eastAsia="仿宋_GB2312" w:cs="宋体"/>
          <w:sz w:val="32"/>
          <w:szCs w:val="32"/>
        </w:rPr>
        <w:t>复试科目：高等数学、大学英语，由学院统一组织命题；</w:t>
      </w:r>
    </w:p>
    <w:p w14:paraId="45FE4589">
      <w:pPr>
        <w:spacing w:line="640" w:lineRule="exact"/>
        <w:ind w:firstLine="640" w:firstLineChars="200"/>
        <w:jc w:val="left"/>
        <w:rPr>
          <w:rFonts w:hint="eastAsia" w:ascii="仿宋_GB2312" w:hAnsi="仿宋" w:eastAsia="仿宋_GB2312" w:cs="宋体"/>
          <w:sz w:val="32"/>
          <w:szCs w:val="32"/>
        </w:rPr>
      </w:pPr>
      <w:r>
        <w:rPr>
          <w:rFonts w:hint="eastAsia" w:ascii="仿宋_GB2312" w:hAnsi="仿宋" w:eastAsia="仿宋_GB2312" w:cs="宋体"/>
          <w:sz w:val="32"/>
          <w:szCs w:val="32"/>
        </w:rPr>
        <w:t>考核方式：闭卷笔试，单科考试时间均为90分钟，满分均为100分；</w:t>
      </w:r>
    </w:p>
    <w:p w14:paraId="3FCE3DDA">
      <w:pPr>
        <w:spacing w:line="640" w:lineRule="exact"/>
        <w:ind w:firstLine="640" w:firstLineChars="200"/>
        <w:jc w:val="left"/>
        <w:rPr>
          <w:rFonts w:hint="eastAsia" w:ascii="仿宋_GB2312" w:hAnsi="仿宋" w:eastAsia="仿宋_GB2312" w:cs="宋体"/>
          <w:sz w:val="32"/>
          <w:szCs w:val="32"/>
        </w:rPr>
      </w:pPr>
      <w:r>
        <w:rPr>
          <w:rFonts w:hint="eastAsia" w:ascii="仿宋_GB2312" w:hAnsi="仿宋" w:eastAsia="仿宋_GB2312" w:cs="宋体"/>
          <w:sz w:val="32"/>
          <w:szCs w:val="32"/>
        </w:rPr>
        <w:t>考核时间：具体场次、考场另行通知；</w:t>
      </w:r>
    </w:p>
    <w:p w14:paraId="0416495B">
      <w:pPr>
        <w:spacing w:line="640" w:lineRule="exact"/>
        <w:ind w:firstLine="640" w:firstLineChars="200"/>
        <w:jc w:val="left"/>
        <w:rPr>
          <w:rFonts w:hint="eastAsia" w:ascii="仿宋_GB2312" w:hAnsi="仿宋" w:eastAsia="仿宋_GB2312" w:cs="宋体"/>
          <w:sz w:val="32"/>
          <w:szCs w:val="32"/>
        </w:rPr>
      </w:pPr>
      <w:r>
        <w:rPr>
          <w:rFonts w:hint="eastAsia" w:ascii="仿宋_GB2312" w:hAnsi="仿宋" w:eastAsia="仿宋_GB2312" w:cs="宋体"/>
          <w:sz w:val="32"/>
          <w:szCs w:val="32"/>
        </w:rPr>
        <w:t>成绩核算：复试总成绩 = 高等数学成绩 ×50%+ 大学英语成绩 ×50%，复试总成绩</w:t>
      </w:r>
      <w:r>
        <w:rPr>
          <w:rFonts w:hint="eastAsia" w:ascii="仿宋_GB2312" w:hAnsi="仿宋" w:eastAsia="仿宋_GB2312" w:cs="宋体"/>
          <w:sz w:val="32"/>
          <w:szCs w:val="32"/>
          <w:lang w:val="en-US" w:eastAsia="zh-CN"/>
        </w:rPr>
        <w:t>应达到</w:t>
      </w:r>
      <w:r>
        <w:rPr>
          <w:rFonts w:hint="eastAsia" w:ascii="仿宋_GB2312" w:hAnsi="仿宋" w:eastAsia="仿宋_GB2312" w:cs="宋体"/>
          <w:sz w:val="32"/>
          <w:szCs w:val="32"/>
        </w:rPr>
        <w:t>60分</w:t>
      </w:r>
      <w:r>
        <w:rPr>
          <w:rFonts w:hint="eastAsia" w:ascii="仿宋_GB2312" w:hAnsi="仿宋" w:eastAsia="仿宋_GB2312" w:cs="宋体"/>
          <w:sz w:val="32"/>
          <w:szCs w:val="32"/>
          <w:lang w:val="en-US" w:eastAsia="zh-CN"/>
        </w:rPr>
        <w:t>及以上</w:t>
      </w:r>
      <w:r>
        <w:rPr>
          <w:rFonts w:hint="eastAsia" w:ascii="仿宋_GB2312" w:hAnsi="仿宋" w:eastAsia="仿宋_GB2312" w:cs="宋体"/>
          <w:sz w:val="32"/>
          <w:szCs w:val="32"/>
        </w:rPr>
        <w:t>。</w:t>
      </w:r>
    </w:p>
    <w:p w14:paraId="70F243CA">
      <w:pPr>
        <w:spacing w:line="640" w:lineRule="exact"/>
        <w:ind w:firstLine="643" w:firstLineChars="200"/>
        <w:jc w:val="left"/>
        <w:rPr>
          <w:rFonts w:hint="eastAsia" w:ascii="仿宋_GB2312" w:hAnsi="仿宋" w:eastAsia="仿宋_GB2312" w:cs="宋体"/>
          <w:b/>
          <w:bCs/>
          <w:sz w:val="32"/>
          <w:szCs w:val="32"/>
        </w:rPr>
      </w:pPr>
      <w:r>
        <w:rPr>
          <w:rFonts w:hint="eastAsia" w:ascii="仿宋_GB2312" w:hAnsi="仿宋" w:eastAsia="仿宋_GB2312" w:cs="宋体"/>
          <w:b/>
          <w:bCs/>
          <w:sz w:val="32"/>
          <w:szCs w:val="32"/>
          <w:lang w:val="en-US" w:eastAsia="zh-CN"/>
        </w:rPr>
        <w:t>3.</w:t>
      </w:r>
      <w:r>
        <w:rPr>
          <w:rFonts w:hint="eastAsia" w:ascii="仿宋_GB2312" w:hAnsi="仿宋" w:eastAsia="仿宋_GB2312" w:cs="宋体"/>
          <w:b/>
          <w:bCs/>
          <w:sz w:val="32"/>
          <w:szCs w:val="32"/>
        </w:rPr>
        <w:t>录取办法</w:t>
      </w:r>
    </w:p>
    <w:p w14:paraId="26A223BC">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0" w:leftChars="0" w:firstLine="640" w:firstLineChars="200"/>
        <w:jc w:val="left"/>
        <w:textAlignment w:val="auto"/>
        <w:rPr>
          <w:rFonts w:hint="eastAsia" w:ascii="仿宋_GB2312" w:hAnsi="仿宋" w:eastAsia="仿宋_GB2312" w:cs="宋体"/>
          <w:sz w:val="32"/>
          <w:szCs w:val="32"/>
        </w:rPr>
      </w:pPr>
      <w:r>
        <w:rPr>
          <w:rFonts w:hint="default" w:ascii="仿宋_GB2312" w:hAnsi="仿宋" w:eastAsia="仿宋_GB2312" w:cs="宋体"/>
          <w:kern w:val="2"/>
          <w:sz w:val="32"/>
          <w:szCs w:val="32"/>
          <w:lang w:val="en-US" w:eastAsia="zh-CN" w:bidi="ar-SA"/>
        </w:rPr>
        <w:t>(1)</w:t>
      </w:r>
      <w:r>
        <w:rPr>
          <w:rFonts w:hint="eastAsia" w:ascii="仿宋_GB2312" w:hAnsi="仿宋" w:eastAsia="仿宋_GB2312" w:cs="宋体"/>
          <w:sz w:val="32"/>
          <w:szCs w:val="32"/>
        </w:rPr>
        <w:t>学院按照学校下达的统筹转入总计划数，根据复试总成绩从高分到低分依次录取；</w:t>
      </w:r>
    </w:p>
    <w:p w14:paraId="1C896B90">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0" w:leftChars="0" w:firstLine="640" w:firstLineChars="200"/>
        <w:jc w:val="left"/>
        <w:textAlignment w:val="auto"/>
        <w:rPr>
          <w:rFonts w:hint="eastAsia" w:ascii="仿宋_GB2312" w:hAnsi="仿宋" w:eastAsia="仿宋_GB2312" w:cs="宋体"/>
          <w:sz w:val="32"/>
          <w:szCs w:val="32"/>
        </w:rPr>
      </w:pPr>
      <w:r>
        <w:rPr>
          <w:rFonts w:hint="default" w:ascii="仿宋_GB2312" w:hAnsi="仿宋" w:eastAsia="仿宋_GB2312" w:cs="宋体"/>
          <w:kern w:val="2"/>
          <w:sz w:val="32"/>
          <w:szCs w:val="32"/>
          <w:lang w:val="en-US" w:eastAsia="zh-CN" w:bidi="ar-SA"/>
        </w:rPr>
        <w:t>(2)</w:t>
      </w:r>
      <w:r>
        <w:rPr>
          <w:rFonts w:hint="eastAsia" w:ascii="仿宋_GB2312" w:hAnsi="仿宋" w:eastAsia="仿宋_GB2312" w:cs="宋体"/>
          <w:sz w:val="32"/>
          <w:szCs w:val="32"/>
        </w:rPr>
        <w:t>若复试总成绩相同，依次参考已修完学期课程总平均学分绩点，绩点高者优先；</w:t>
      </w:r>
    </w:p>
    <w:p w14:paraId="41011547">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0" w:leftChars="0" w:firstLine="640" w:firstLineChars="200"/>
        <w:jc w:val="left"/>
        <w:textAlignment w:val="auto"/>
        <w:rPr>
          <w:rFonts w:hint="eastAsia" w:ascii="仿宋_GB2312" w:hAnsi="仿宋" w:eastAsia="仿宋_GB2312" w:cs="宋体"/>
          <w:sz w:val="32"/>
          <w:szCs w:val="32"/>
        </w:rPr>
      </w:pPr>
      <w:r>
        <w:rPr>
          <w:rFonts w:hint="default" w:ascii="仿宋_GB2312" w:hAnsi="仿宋" w:eastAsia="仿宋_GB2312" w:cs="宋体"/>
          <w:kern w:val="2"/>
          <w:sz w:val="32"/>
          <w:szCs w:val="32"/>
          <w:lang w:val="en-US" w:eastAsia="zh-CN" w:bidi="ar-SA"/>
        </w:rPr>
        <w:t>(3)</w:t>
      </w:r>
      <w:r>
        <w:rPr>
          <w:rFonts w:hint="eastAsia" w:ascii="仿宋_GB2312" w:hAnsi="仿宋" w:eastAsia="仿宋_GB2312" w:cs="宋体"/>
          <w:sz w:val="32"/>
          <w:szCs w:val="32"/>
        </w:rPr>
        <w:t>破格转专业考生复试成绩达到合格线（60 分）后，单独排序录取，不占用普通转专业计划；</w:t>
      </w:r>
    </w:p>
    <w:p w14:paraId="5D081287">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0" w:leftChars="0" w:firstLine="640" w:firstLineChars="200"/>
        <w:jc w:val="left"/>
        <w:textAlignment w:val="auto"/>
        <w:rPr>
          <w:rFonts w:hint="eastAsia" w:ascii="仿宋_GB2312" w:hAnsi="仿宋" w:eastAsia="仿宋_GB2312" w:cs="宋体"/>
          <w:sz w:val="32"/>
          <w:szCs w:val="32"/>
        </w:rPr>
      </w:pPr>
      <w:r>
        <w:rPr>
          <w:rFonts w:hint="default" w:ascii="仿宋_GB2312" w:hAnsi="仿宋" w:eastAsia="仿宋_GB2312" w:cs="宋体"/>
          <w:kern w:val="2"/>
          <w:sz w:val="32"/>
          <w:szCs w:val="32"/>
          <w:lang w:val="en-US" w:eastAsia="zh-CN" w:bidi="ar-SA"/>
        </w:rPr>
        <w:t>(4)</w:t>
      </w:r>
      <w:r>
        <w:rPr>
          <w:rFonts w:hint="eastAsia" w:ascii="仿宋_GB2312" w:hAnsi="仿宋" w:eastAsia="仿宋_GB2312" w:cs="宋体"/>
          <w:sz w:val="32"/>
          <w:szCs w:val="32"/>
        </w:rPr>
        <w:t>确定拟接收学生名单后，结果公示及异议处理按照学校规定统一执行。</w:t>
      </w:r>
    </w:p>
    <w:p w14:paraId="031233D0">
      <w:pPr>
        <w:spacing w:line="640" w:lineRule="exact"/>
        <w:ind w:firstLine="643" w:firstLineChars="200"/>
        <w:jc w:val="left"/>
        <w:rPr>
          <w:rFonts w:hint="eastAsia" w:ascii="仿宋_GB2312" w:hAnsi="仿宋" w:eastAsia="仿宋_GB2312" w:cs="宋体"/>
          <w:b/>
          <w:bCs/>
          <w:sz w:val="32"/>
          <w:szCs w:val="32"/>
        </w:rPr>
      </w:pPr>
      <w:r>
        <w:rPr>
          <w:rFonts w:hint="eastAsia" w:ascii="仿宋_GB2312" w:hAnsi="仿宋" w:eastAsia="仿宋_GB2312" w:cs="宋体"/>
          <w:b/>
          <w:bCs/>
          <w:sz w:val="32"/>
          <w:szCs w:val="32"/>
        </w:rPr>
        <w:t>五、进度安排</w:t>
      </w:r>
    </w:p>
    <w:p w14:paraId="726923CC">
      <w:pPr>
        <w:spacing w:line="640" w:lineRule="exact"/>
        <w:ind w:firstLine="643" w:firstLineChars="200"/>
        <w:jc w:val="left"/>
        <w:rPr>
          <w:rFonts w:hint="eastAsia" w:ascii="仿宋_GB2312" w:hAnsi="仿宋" w:eastAsia="仿宋_GB2312" w:cs="宋体"/>
          <w:b/>
          <w:bCs/>
          <w:sz w:val="32"/>
          <w:szCs w:val="32"/>
        </w:rPr>
      </w:pPr>
      <w:r>
        <w:rPr>
          <w:rFonts w:hint="eastAsia" w:ascii="仿宋_GB2312" w:hAnsi="仿宋" w:eastAsia="仿宋_GB2312" w:cs="宋体"/>
          <w:b/>
          <w:bCs/>
          <w:sz w:val="32"/>
          <w:szCs w:val="32"/>
          <w:lang w:val="en-US" w:eastAsia="zh-CN"/>
        </w:rPr>
        <w:t>1.</w:t>
      </w:r>
      <w:r>
        <w:rPr>
          <w:rFonts w:hint="eastAsia" w:ascii="仿宋_GB2312" w:hAnsi="仿宋" w:eastAsia="仿宋_GB2312" w:cs="宋体"/>
          <w:b/>
          <w:bCs/>
          <w:sz w:val="32"/>
          <w:szCs w:val="32"/>
        </w:rPr>
        <w:t>学生线上申请</w:t>
      </w:r>
    </w:p>
    <w:p w14:paraId="49EFED97">
      <w:pPr>
        <w:spacing w:line="640" w:lineRule="exact"/>
        <w:ind w:firstLine="640" w:firstLineChars="200"/>
        <w:jc w:val="left"/>
        <w:rPr>
          <w:rFonts w:hint="eastAsia" w:ascii="仿宋_GB2312" w:hAnsi="仿宋" w:eastAsia="仿宋_GB2312" w:cs="宋体"/>
          <w:sz w:val="32"/>
          <w:szCs w:val="32"/>
        </w:rPr>
      </w:pPr>
      <w:r>
        <w:rPr>
          <w:rFonts w:hint="eastAsia" w:ascii="仿宋_GB2312" w:hAnsi="仿宋" w:eastAsia="仿宋_GB2312" w:cs="宋体"/>
          <w:sz w:val="32"/>
          <w:szCs w:val="32"/>
        </w:rPr>
        <w:t>申请转专业的学生于2026年3月2日 9：00-3月4日12</w:t>
      </w:r>
      <w:r>
        <w:rPr>
          <w:rFonts w:hint="eastAsia" w:ascii="仿宋_GB2312" w:hAnsi="仿宋" w:eastAsia="仿宋_GB2312" w:cs="宋体"/>
          <w:sz w:val="32"/>
          <w:szCs w:val="32"/>
          <w:lang w:val="en-US" w:eastAsia="zh-CN"/>
        </w:rPr>
        <w:t>:</w:t>
      </w:r>
      <w:r>
        <w:rPr>
          <w:rFonts w:hint="eastAsia" w:ascii="仿宋_GB2312" w:hAnsi="仿宋" w:eastAsia="仿宋_GB2312" w:cs="宋体"/>
          <w:sz w:val="32"/>
          <w:szCs w:val="32"/>
        </w:rPr>
        <w:t xml:space="preserve">00 </w:t>
      </w:r>
      <w:r>
        <w:rPr>
          <w:rFonts w:hint="eastAsia" w:ascii="仿宋_GB2312" w:hAnsi="仿宋" w:eastAsia="仿宋_GB2312" w:cs="宋体"/>
          <w:sz w:val="32"/>
          <w:szCs w:val="32"/>
          <w:lang w:eastAsia="zh-CN"/>
        </w:rPr>
        <w:t>，</w:t>
      </w:r>
      <w:r>
        <w:rPr>
          <w:rFonts w:hint="eastAsia" w:ascii="仿宋_GB2312" w:hAnsi="仿宋" w:eastAsia="仿宋_GB2312" w:cs="宋体"/>
          <w:sz w:val="32"/>
          <w:szCs w:val="32"/>
        </w:rPr>
        <w:t>打开网址</w:t>
      </w:r>
      <w:r>
        <w:rPr>
          <w:rFonts w:hint="default" w:ascii="Times New Roman" w:hAnsi="Times New Roman" w:eastAsia="仿宋_GB2312" w:cs="Times New Roman"/>
          <w:sz w:val="32"/>
          <w:szCs w:val="32"/>
        </w:rPr>
        <w:t>https://f.wps.cn/g/DPjaqv2N/</w:t>
      </w:r>
      <w:r>
        <w:rPr>
          <w:rFonts w:hint="eastAsia" w:ascii="仿宋_GB2312" w:hAnsi="仿宋" w:eastAsia="仿宋_GB2312" w:cs="宋体"/>
          <w:sz w:val="32"/>
          <w:szCs w:val="32"/>
        </w:rPr>
        <w:t>提交转专业申请进行资格审查，只能填写一次，申请破格转专业者务必在系统中上传支撑材料扫描件，请申请者检查无误后再提交。申请期外一律不再受理。</w:t>
      </w:r>
    </w:p>
    <w:p w14:paraId="77390C86">
      <w:pPr>
        <w:spacing w:line="640" w:lineRule="exact"/>
        <w:ind w:firstLine="643" w:firstLineChars="200"/>
        <w:jc w:val="left"/>
        <w:rPr>
          <w:rFonts w:hint="eastAsia" w:ascii="仿宋_GB2312" w:hAnsi="仿宋" w:eastAsia="仿宋_GB2312" w:cs="宋体"/>
          <w:b/>
          <w:bCs/>
          <w:sz w:val="32"/>
          <w:szCs w:val="32"/>
        </w:rPr>
      </w:pPr>
      <w:r>
        <w:rPr>
          <w:rFonts w:hint="eastAsia" w:ascii="仿宋_GB2312" w:hAnsi="仿宋" w:eastAsia="仿宋_GB2312" w:cs="宋体"/>
          <w:b/>
          <w:bCs/>
          <w:sz w:val="32"/>
          <w:szCs w:val="32"/>
          <w:lang w:val="en-US" w:eastAsia="zh-CN"/>
        </w:rPr>
        <w:t>2.</w:t>
      </w:r>
      <w:r>
        <w:rPr>
          <w:rFonts w:hint="eastAsia" w:ascii="仿宋_GB2312" w:hAnsi="仿宋" w:eastAsia="仿宋_GB2312" w:cs="宋体"/>
          <w:b/>
          <w:bCs/>
          <w:sz w:val="32"/>
          <w:szCs w:val="32"/>
        </w:rPr>
        <w:t>专业咨询</w:t>
      </w:r>
    </w:p>
    <w:p w14:paraId="5042AAB5">
      <w:pPr>
        <w:spacing w:line="640" w:lineRule="exact"/>
        <w:ind w:firstLine="640" w:firstLineChars="200"/>
        <w:jc w:val="left"/>
        <w:rPr>
          <w:rFonts w:hint="eastAsia" w:ascii="仿宋_GB2312" w:hAnsi="仿宋" w:eastAsia="仿宋_GB2312" w:cs="宋体"/>
          <w:sz w:val="32"/>
          <w:szCs w:val="32"/>
        </w:rPr>
      </w:pPr>
      <w:r>
        <w:rPr>
          <w:rFonts w:hint="eastAsia" w:ascii="仿宋_GB2312" w:hAnsi="仿宋" w:eastAsia="仿宋_GB2312" w:cs="宋体"/>
          <w:sz w:val="32"/>
          <w:szCs w:val="32"/>
        </w:rPr>
        <w:t>学院于2026年3月5日-3月6日指定具体负责教师解答转专业事宜（见表 1）。</w:t>
      </w:r>
    </w:p>
    <w:p w14:paraId="7F27D51E">
      <w:pPr>
        <w:spacing w:line="640" w:lineRule="exact"/>
        <w:ind w:firstLine="640" w:firstLineChars="200"/>
        <w:jc w:val="center"/>
        <w:rPr>
          <w:rFonts w:hint="eastAsia" w:ascii="仿宋_GB2312" w:hAnsi="仿宋" w:eastAsia="仿宋_GB2312" w:cs="宋体"/>
          <w:sz w:val="32"/>
          <w:szCs w:val="32"/>
        </w:rPr>
      </w:pPr>
      <w:r>
        <w:rPr>
          <w:rFonts w:hint="eastAsia" w:ascii="仿宋_GB2312" w:hAnsi="仿宋" w:eastAsia="仿宋_GB2312" w:cs="宋体"/>
          <w:sz w:val="32"/>
          <w:szCs w:val="32"/>
        </w:rPr>
        <w:t>表 1 转专业咨询信息表</w:t>
      </w:r>
    </w:p>
    <w:tbl>
      <w:tblPr>
        <w:tblStyle w:val="4"/>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0" w:type="dxa"/>
          <w:bottom w:w="0" w:type="dxa"/>
          <w:right w:w="0" w:type="dxa"/>
        </w:tblCellMar>
      </w:tblPr>
      <w:tblGrid>
        <w:gridCol w:w="4125"/>
        <w:gridCol w:w="1911"/>
        <w:gridCol w:w="2486"/>
      </w:tblGrid>
      <w:tr w14:paraId="65FE6817">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0" w:type="dxa"/>
            <w:bottom w:w="0" w:type="dxa"/>
            <w:right w:w="0" w:type="dxa"/>
          </w:tblCellMar>
        </w:tblPrEx>
        <w:trPr>
          <w:trHeight w:val="0" w:hRule="atLeast"/>
          <w:tblHeader/>
          <w:jc w:val="center"/>
        </w:trPr>
        <w:tc>
          <w:tcPr>
            <w:tcW w:w="4125" w:type="dxa"/>
            <w:tcBorders>
              <w:top w:val="single" w:color="000000" w:sz="12" w:space="0"/>
              <w:left w:val="single" w:color="000000" w:sz="12" w:space="0"/>
              <w:bottom w:val="nil"/>
              <w:right w:val="nil"/>
            </w:tcBorders>
            <w:shd w:val="clear" w:color="auto" w:fill="F0F0F0"/>
            <w:tcMar>
              <w:top w:w="120" w:type="dxa"/>
              <w:left w:w="120" w:type="dxa"/>
              <w:bottom w:w="120" w:type="dxa"/>
              <w:right w:w="120" w:type="dxa"/>
            </w:tcMar>
            <w:vAlign w:val="center"/>
          </w:tcPr>
          <w:p w14:paraId="54129883">
            <w:pPr>
              <w:snapToGrid w:val="0"/>
              <w:ind w:left="0" w:leftChars="0" w:right="0" w:rightChars="0" w:firstLine="0" w:firstLineChars="0"/>
              <w:jc w:val="center"/>
              <w:rPr>
                <w:rFonts w:hint="default" w:ascii="Times New Roman" w:hAnsi="Times New Roman" w:eastAsia="方正仿宋_GBK" w:cs="Times New Roman"/>
                <w:b/>
                <w:bCs/>
                <w:sz w:val="24"/>
                <w:szCs w:val="24"/>
              </w:rPr>
            </w:pPr>
            <w:r>
              <w:rPr>
                <w:rFonts w:hint="default" w:ascii="Times New Roman" w:hAnsi="Times New Roman" w:eastAsia="方正仿宋_GBK" w:cs="Times New Roman"/>
                <w:b/>
                <w:bCs/>
                <w:sz w:val="24"/>
                <w:szCs w:val="24"/>
              </w:rPr>
              <w:t>专业</w:t>
            </w:r>
          </w:p>
        </w:tc>
        <w:tc>
          <w:tcPr>
            <w:tcW w:w="1911" w:type="dxa"/>
            <w:tcBorders>
              <w:top w:val="single" w:color="000000" w:sz="12" w:space="0"/>
              <w:left w:val="single" w:color="000000" w:sz="4" w:space="0"/>
              <w:bottom w:val="nil"/>
              <w:right w:val="nil"/>
            </w:tcBorders>
            <w:shd w:val="clear" w:color="auto" w:fill="F0F0F0"/>
            <w:tcMar>
              <w:top w:w="120" w:type="dxa"/>
              <w:left w:w="120" w:type="dxa"/>
              <w:bottom w:w="120" w:type="dxa"/>
              <w:right w:w="120" w:type="dxa"/>
            </w:tcMar>
            <w:vAlign w:val="center"/>
          </w:tcPr>
          <w:p w14:paraId="77B867FF">
            <w:pPr>
              <w:snapToGrid w:val="0"/>
              <w:ind w:left="0" w:leftChars="0" w:right="0" w:rightChars="0" w:firstLine="0" w:firstLineChars="0"/>
              <w:jc w:val="center"/>
              <w:rPr>
                <w:rFonts w:hint="default" w:ascii="Times New Roman" w:hAnsi="Times New Roman" w:eastAsia="方正仿宋_GBK" w:cs="Times New Roman"/>
                <w:b/>
                <w:bCs/>
                <w:sz w:val="24"/>
                <w:szCs w:val="24"/>
              </w:rPr>
            </w:pPr>
            <w:r>
              <w:rPr>
                <w:rFonts w:hint="default" w:ascii="Times New Roman" w:hAnsi="Times New Roman" w:eastAsia="方正仿宋_GBK" w:cs="Times New Roman"/>
                <w:b/>
                <w:bCs/>
                <w:sz w:val="24"/>
                <w:szCs w:val="24"/>
              </w:rPr>
              <w:t>教师姓名</w:t>
            </w:r>
          </w:p>
        </w:tc>
        <w:tc>
          <w:tcPr>
            <w:tcW w:w="2486" w:type="dxa"/>
            <w:tcBorders>
              <w:top w:val="single" w:color="000000" w:sz="12" w:space="0"/>
              <w:left w:val="single" w:color="000000" w:sz="4" w:space="0"/>
              <w:bottom w:val="nil"/>
              <w:right w:val="single" w:color="000000" w:sz="12" w:space="0"/>
            </w:tcBorders>
            <w:shd w:val="clear" w:color="auto" w:fill="F0F0F0"/>
            <w:tcMar>
              <w:top w:w="120" w:type="dxa"/>
              <w:left w:w="120" w:type="dxa"/>
              <w:bottom w:w="120" w:type="dxa"/>
              <w:right w:w="120" w:type="dxa"/>
            </w:tcMar>
            <w:vAlign w:val="center"/>
          </w:tcPr>
          <w:p w14:paraId="0D0CB294">
            <w:pPr>
              <w:snapToGrid w:val="0"/>
              <w:ind w:left="0" w:leftChars="0" w:right="0" w:rightChars="0" w:firstLine="0" w:firstLineChars="0"/>
              <w:jc w:val="center"/>
              <w:rPr>
                <w:rFonts w:hint="default" w:ascii="Times New Roman" w:hAnsi="Times New Roman" w:eastAsia="方正仿宋_GBK" w:cs="Times New Roman"/>
                <w:b/>
                <w:bCs/>
                <w:sz w:val="24"/>
                <w:szCs w:val="24"/>
              </w:rPr>
            </w:pPr>
            <w:r>
              <w:rPr>
                <w:rFonts w:hint="default" w:ascii="Times New Roman" w:hAnsi="Times New Roman" w:eastAsia="方正仿宋_GBK" w:cs="Times New Roman"/>
                <w:b/>
                <w:bCs/>
                <w:sz w:val="24"/>
                <w:szCs w:val="24"/>
              </w:rPr>
              <w:t>联系电话</w:t>
            </w:r>
          </w:p>
        </w:tc>
      </w:tr>
      <w:tr w14:paraId="2435787B">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0" w:type="dxa"/>
            <w:bottom w:w="0" w:type="dxa"/>
            <w:right w:w="0" w:type="dxa"/>
          </w:tblCellMar>
        </w:tblPrEx>
        <w:trPr>
          <w:trHeight w:val="0" w:hRule="atLeast"/>
          <w:jc w:val="center"/>
        </w:trPr>
        <w:tc>
          <w:tcPr>
            <w:tcW w:w="4125" w:type="dxa"/>
            <w:tcBorders>
              <w:top w:val="single" w:color="000000" w:sz="4" w:space="0"/>
              <w:left w:val="single" w:color="000000" w:sz="12" w:space="0"/>
              <w:bottom w:val="nil"/>
              <w:right w:val="nil"/>
            </w:tcBorders>
            <w:tcMar>
              <w:top w:w="120" w:type="dxa"/>
              <w:left w:w="120" w:type="dxa"/>
              <w:bottom w:w="120" w:type="dxa"/>
              <w:right w:w="120" w:type="dxa"/>
            </w:tcMar>
            <w:vAlign w:val="center"/>
          </w:tcPr>
          <w:p w14:paraId="23E3A6DD">
            <w:pPr>
              <w:snapToGrid w:val="0"/>
              <w:ind w:left="0" w:leftChars="0" w:right="0" w:rightChars="0" w:firstLine="0" w:firstLineChars="0"/>
              <w:jc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计算机科学与技术</w:t>
            </w:r>
          </w:p>
        </w:tc>
        <w:tc>
          <w:tcPr>
            <w:tcW w:w="1911" w:type="dxa"/>
            <w:tcBorders>
              <w:top w:val="single" w:color="000000" w:sz="4" w:space="0"/>
              <w:left w:val="single" w:color="000000" w:sz="4" w:space="0"/>
              <w:bottom w:val="nil"/>
              <w:right w:val="nil"/>
            </w:tcBorders>
            <w:tcMar>
              <w:top w:w="120" w:type="dxa"/>
              <w:left w:w="120" w:type="dxa"/>
              <w:bottom w:w="120" w:type="dxa"/>
              <w:right w:w="120" w:type="dxa"/>
            </w:tcMar>
            <w:vAlign w:val="center"/>
          </w:tcPr>
          <w:p w14:paraId="73748AB2">
            <w:pPr>
              <w:snapToGrid w:val="0"/>
              <w:ind w:left="0" w:leftChars="0" w:right="0" w:rightChars="0" w:firstLine="0" w:firstLineChars="0"/>
              <w:jc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谢翌</w:t>
            </w:r>
          </w:p>
        </w:tc>
        <w:tc>
          <w:tcPr>
            <w:tcW w:w="2486" w:type="dxa"/>
            <w:tcBorders>
              <w:top w:val="single" w:color="000000" w:sz="4" w:space="0"/>
              <w:left w:val="single" w:color="000000" w:sz="4" w:space="0"/>
              <w:bottom w:val="nil"/>
              <w:right w:val="single" w:color="000000" w:sz="12" w:space="0"/>
            </w:tcBorders>
            <w:tcMar>
              <w:top w:w="120" w:type="dxa"/>
              <w:left w:w="120" w:type="dxa"/>
              <w:bottom w:w="120" w:type="dxa"/>
              <w:right w:w="120" w:type="dxa"/>
            </w:tcMar>
            <w:vAlign w:val="center"/>
          </w:tcPr>
          <w:p w14:paraId="1081FE2E">
            <w:pPr>
              <w:snapToGrid w:val="0"/>
              <w:ind w:left="0" w:leftChars="0" w:right="0" w:rightChars="0" w:firstLine="0" w:firstLineChars="0"/>
              <w:jc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15683780560</w:t>
            </w:r>
          </w:p>
        </w:tc>
      </w:tr>
      <w:tr w14:paraId="550D5FE5">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0" w:type="dxa"/>
            <w:bottom w:w="0" w:type="dxa"/>
            <w:right w:w="0" w:type="dxa"/>
          </w:tblCellMar>
        </w:tblPrEx>
        <w:trPr>
          <w:trHeight w:val="0" w:hRule="atLeast"/>
          <w:jc w:val="center"/>
        </w:trPr>
        <w:tc>
          <w:tcPr>
            <w:tcW w:w="4125" w:type="dxa"/>
            <w:tcBorders>
              <w:top w:val="single" w:color="000000" w:sz="4" w:space="0"/>
              <w:left w:val="single" w:color="000000" w:sz="12" w:space="0"/>
              <w:bottom w:val="nil"/>
              <w:right w:val="nil"/>
            </w:tcBorders>
            <w:tcMar>
              <w:top w:w="120" w:type="dxa"/>
              <w:left w:w="120" w:type="dxa"/>
              <w:bottom w:w="120" w:type="dxa"/>
              <w:right w:w="120" w:type="dxa"/>
            </w:tcMar>
            <w:vAlign w:val="center"/>
          </w:tcPr>
          <w:p w14:paraId="118720E6">
            <w:pPr>
              <w:snapToGrid w:val="0"/>
              <w:ind w:left="0" w:leftChars="0" w:right="0" w:rightChars="0" w:firstLine="0" w:firstLineChars="0"/>
              <w:jc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软件工程</w:t>
            </w:r>
          </w:p>
        </w:tc>
        <w:tc>
          <w:tcPr>
            <w:tcW w:w="1911" w:type="dxa"/>
            <w:tcBorders>
              <w:top w:val="single" w:color="000000" w:sz="4" w:space="0"/>
              <w:left w:val="single" w:color="000000" w:sz="4" w:space="0"/>
              <w:bottom w:val="nil"/>
              <w:right w:val="nil"/>
            </w:tcBorders>
            <w:tcMar>
              <w:top w:w="120" w:type="dxa"/>
              <w:left w:w="120" w:type="dxa"/>
              <w:bottom w:w="120" w:type="dxa"/>
              <w:right w:w="120" w:type="dxa"/>
            </w:tcMar>
            <w:vAlign w:val="center"/>
          </w:tcPr>
          <w:p w14:paraId="68F9CB0F">
            <w:pPr>
              <w:snapToGrid w:val="0"/>
              <w:ind w:left="0" w:leftChars="0" w:right="0" w:rightChars="0" w:firstLine="0" w:firstLineChars="0"/>
              <w:jc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崔义</w:t>
            </w:r>
          </w:p>
        </w:tc>
        <w:tc>
          <w:tcPr>
            <w:tcW w:w="2486" w:type="dxa"/>
            <w:tcBorders>
              <w:top w:val="single" w:color="000000" w:sz="4" w:space="0"/>
              <w:left w:val="single" w:color="000000" w:sz="4" w:space="0"/>
              <w:bottom w:val="nil"/>
              <w:right w:val="single" w:color="000000" w:sz="12" w:space="0"/>
            </w:tcBorders>
            <w:tcMar>
              <w:top w:w="120" w:type="dxa"/>
              <w:left w:w="120" w:type="dxa"/>
              <w:bottom w:w="120" w:type="dxa"/>
              <w:right w:w="120" w:type="dxa"/>
            </w:tcMar>
            <w:vAlign w:val="center"/>
          </w:tcPr>
          <w:p w14:paraId="3F779106">
            <w:pPr>
              <w:snapToGrid w:val="0"/>
              <w:ind w:left="0" w:leftChars="0" w:right="0" w:rightChars="0" w:firstLine="0" w:firstLineChars="0"/>
              <w:jc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17382255912</w:t>
            </w:r>
          </w:p>
        </w:tc>
      </w:tr>
      <w:tr w14:paraId="6960BB7B">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0" w:type="dxa"/>
            <w:bottom w:w="0" w:type="dxa"/>
            <w:right w:w="0" w:type="dxa"/>
          </w:tblCellMar>
        </w:tblPrEx>
        <w:trPr>
          <w:trHeight w:val="0" w:hRule="atLeast"/>
          <w:jc w:val="center"/>
        </w:trPr>
        <w:tc>
          <w:tcPr>
            <w:tcW w:w="4125" w:type="dxa"/>
            <w:tcBorders>
              <w:top w:val="single" w:color="000000" w:sz="4" w:space="0"/>
              <w:left w:val="single" w:color="000000" w:sz="12" w:space="0"/>
              <w:bottom w:val="nil"/>
              <w:right w:val="nil"/>
            </w:tcBorders>
            <w:tcMar>
              <w:top w:w="120" w:type="dxa"/>
              <w:left w:w="120" w:type="dxa"/>
              <w:bottom w:w="120" w:type="dxa"/>
              <w:right w:w="120" w:type="dxa"/>
            </w:tcMar>
            <w:vAlign w:val="center"/>
          </w:tcPr>
          <w:p w14:paraId="7A781D99">
            <w:pPr>
              <w:snapToGrid w:val="0"/>
              <w:ind w:left="0" w:leftChars="0" w:right="0" w:rightChars="0" w:firstLine="0" w:firstLineChars="0"/>
              <w:jc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物联网工程</w:t>
            </w:r>
          </w:p>
        </w:tc>
        <w:tc>
          <w:tcPr>
            <w:tcW w:w="1911" w:type="dxa"/>
            <w:tcBorders>
              <w:top w:val="single" w:color="000000" w:sz="4" w:space="0"/>
              <w:left w:val="single" w:color="000000" w:sz="4" w:space="0"/>
              <w:bottom w:val="nil"/>
              <w:right w:val="nil"/>
            </w:tcBorders>
            <w:tcMar>
              <w:top w:w="120" w:type="dxa"/>
              <w:left w:w="120" w:type="dxa"/>
              <w:bottom w:w="120" w:type="dxa"/>
              <w:right w:w="120" w:type="dxa"/>
            </w:tcMar>
            <w:vAlign w:val="center"/>
          </w:tcPr>
          <w:p w14:paraId="16569044">
            <w:pPr>
              <w:snapToGrid w:val="0"/>
              <w:ind w:left="0" w:leftChars="0" w:right="0" w:rightChars="0" w:firstLine="0" w:firstLineChars="0"/>
              <w:jc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江渝川</w:t>
            </w:r>
          </w:p>
        </w:tc>
        <w:tc>
          <w:tcPr>
            <w:tcW w:w="2486" w:type="dxa"/>
            <w:tcBorders>
              <w:top w:val="single" w:color="000000" w:sz="4" w:space="0"/>
              <w:left w:val="single" w:color="000000" w:sz="4" w:space="0"/>
              <w:bottom w:val="nil"/>
              <w:right w:val="single" w:color="000000" w:sz="12" w:space="0"/>
            </w:tcBorders>
            <w:tcMar>
              <w:top w:w="120" w:type="dxa"/>
              <w:left w:w="120" w:type="dxa"/>
              <w:bottom w:w="120" w:type="dxa"/>
              <w:right w:w="120" w:type="dxa"/>
            </w:tcMar>
            <w:vAlign w:val="center"/>
          </w:tcPr>
          <w:p w14:paraId="4C3FF0EC">
            <w:pPr>
              <w:snapToGrid w:val="0"/>
              <w:ind w:left="0" w:leftChars="0" w:right="0" w:rightChars="0" w:firstLine="0" w:firstLineChars="0"/>
              <w:jc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18623413501</w:t>
            </w:r>
          </w:p>
        </w:tc>
      </w:tr>
      <w:tr w14:paraId="66CDAD19">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0" w:type="dxa"/>
            <w:bottom w:w="0" w:type="dxa"/>
            <w:right w:w="0" w:type="dxa"/>
          </w:tblCellMar>
        </w:tblPrEx>
        <w:trPr>
          <w:trHeight w:val="0" w:hRule="atLeast"/>
          <w:jc w:val="center"/>
        </w:trPr>
        <w:tc>
          <w:tcPr>
            <w:tcW w:w="4125" w:type="dxa"/>
            <w:tcBorders>
              <w:top w:val="single" w:color="000000" w:sz="4" w:space="0"/>
              <w:left w:val="single" w:color="000000" w:sz="12" w:space="0"/>
              <w:bottom w:val="nil"/>
              <w:right w:val="nil"/>
            </w:tcBorders>
            <w:tcMar>
              <w:top w:w="120" w:type="dxa"/>
              <w:left w:w="120" w:type="dxa"/>
              <w:bottom w:w="120" w:type="dxa"/>
              <w:right w:w="120" w:type="dxa"/>
            </w:tcMar>
            <w:vAlign w:val="center"/>
          </w:tcPr>
          <w:p w14:paraId="243FAF53">
            <w:pPr>
              <w:snapToGrid w:val="0"/>
              <w:ind w:left="0" w:leftChars="0" w:right="0" w:rightChars="0" w:firstLine="0" w:firstLineChars="0"/>
              <w:jc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数据科学与大数据技术</w:t>
            </w:r>
          </w:p>
        </w:tc>
        <w:tc>
          <w:tcPr>
            <w:tcW w:w="1911" w:type="dxa"/>
            <w:tcBorders>
              <w:top w:val="single" w:color="000000" w:sz="4" w:space="0"/>
              <w:left w:val="single" w:color="000000" w:sz="4" w:space="0"/>
              <w:bottom w:val="nil"/>
              <w:right w:val="nil"/>
            </w:tcBorders>
            <w:tcMar>
              <w:top w:w="120" w:type="dxa"/>
              <w:left w:w="120" w:type="dxa"/>
              <w:bottom w:w="120" w:type="dxa"/>
              <w:right w:w="120" w:type="dxa"/>
            </w:tcMar>
            <w:vAlign w:val="center"/>
          </w:tcPr>
          <w:p w14:paraId="436644E9">
            <w:pPr>
              <w:snapToGrid w:val="0"/>
              <w:ind w:left="0" w:leftChars="0" w:right="0" w:rightChars="0" w:firstLine="0" w:firstLineChars="0"/>
              <w:jc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蒋建华</w:t>
            </w:r>
          </w:p>
        </w:tc>
        <w:tc>
          <w:tcPr>
            <w:tcW w:w="2486" w:type="dxa"/>
            <w:tcBorders>
              <w:top w:val="single" w:color="000000" w:sz="4" w:space="0"/>
              <w:left w:val="single" w:color="000000" w:sz="4" w:space="0"/>
              <w:bottom w:val="nil"/>
              <w:right w:val="single" w:color="000000" w:sz="12" w:space="0"/>
            </w:tcBorders>
            <w:tcMar>
              <w:top w:w="120" w:type="dxa"/>
              <w:left w:w="120" w:type="dxa"/>
              <w:bottom w:w="120" w:type="dxa"/>
              <w:right w:w="120" w:type="dxa"/>
            </w:tcMar>
            <w:vAlign w:val="center"/>
          </w:tcPr>
          <w:p w14:paraId="6D9CCE19">
            <w:pPr>
              <w:snapToGrid w:val="0"/>
              <w:ind w:left="0" w:leftChars="0" w:right="0" w:rightChars="0" w:firstLine="0" w:firstLineChars="0"/>
              <w:jc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18716318950</w:t>
            </w:r>
          </w:p>
        </w:tc>
      </w:tr>
      <w:tr w14:paraId="7D322CD4">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0" w:type="dxa"/>
            <w:bottom w:w="0" w:type="dxa"/>
            <w:right w:w="0" w:type="dxa"/>
          </w:tblCellMar>
        </w:tblPrEx>
        <w:trPr>
          <w:trHeight w:val="0" w:hRule="atLeast"/>
          <w:jc w:val="center"/>
        </w:trPr>
        <w:tc>
          <w:tcPr>
            <w:tcW w:w="4125" w:type="dxa"/>
            <w:tcBorders>
              <w:top w:val="single" w:color="000000" w:sz="4" w:space="0"/>
              <w:left w:val="single" w:color="000000" w:sz="12" w:space="0"/>
              <w:bottom w:val="single" w:color="000000" w:sz="12" w:space="0"/>
              <w:right w:val="nil"/>
            </w:tcBorders>
            <w:tcMar>
              <w:top w:w="120" w:type="dxa"/>
              <w:left w:w="120" w:type="dxa"/>
              <w:bottom w:w="120" w:type="dxa"/>
              <w:right w:w="120" w:type="dxa"/>
            </w:tcMar>
            <w:vAlign w:val="center"/>
          </w:tcPr>
          <w:p w14:paraId="67E747F7">
            <w:pPr>
              <w:snapToGrid w:val="0"/>
              <w:ind w:left="0" w:leftChars="0" w:right="0" w:rightChars="0" w:firstLine="0" w:firstLineChars="0"/>
              <w:jc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信息安全</w:t>
            </w:r>
          </w:p>
        </w:tc>
        <w:tc>
          <w:tcPr>
            <w:tcW w:w="1911" w:type="dxa"/>
            <w:tcBorders>
              <w:top w:val="single" w:color="000000" w:sz="4" w:space="0"/>
              <w:left w:val="single" w:color="000000" w:sz="4" w:space="0"/>
              <w:bottom w:val="single" w:color="000000" w:sz="12" w:space="0"/>
              <w:right w:val="nil"/>
            </w:tcBorders>
            <w:tcMar>
              <w:top w:w="120" w:type="dxa"/>
              <w:left w:w="120" w:type="dxa"/>
              <w:bottom w:w="120" w:type="dxa"/>
              <w:right w:w="120" w:type="dxa"/>
            </w:tcMar>
            <w:vAlign w:val="center"/>
          </w:tcPr>
          <w:p w14:paraId="79BE3234">
            <w:pPr>
              <w:snapToGrid w:val="0"/>
              <w:ind w:left="0" w:leftChars="0" w:right="0" w:rightChars="0" w:firstLine="0" w:firstLineChars="0"/>
              <w:jc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马传龙</w:t>
            </w:r>
          </w:p>
        </w:tc>
        <w:tc>
          <w:tcPr>
            <w:tcW w:w="2486" w:type="dxa"/>
            <w:tcBorders>
              <w:top w:val="single" w:color="000000" w:sz="4" w:space="0"/>
              <w:left w:val="single" w:color="000000" w:sz="4" w:space="0"/>
              <w:bottom w:val="single" w:color="000000" w:sz="12" w:space="0"/>
              <w:right w:val="single" w:color="000000" w:sz="12" w:space="0"/>
            </w:tcBorders>
            <w:tcMar>
              <w:top w:w="120" w:type="dxa"/>
              <w:left w:w="120" w:type="dxa"/>
              <w:bottom w:w="120" w:type="dxa"/>
              <w:right w:w="120" w:type="dxa"/>
            </w:tcMar>
            <w:vAlign w:val="center"/>
          </w:tcPr>
          <w:p w14:paraId="2DB31B2C">
            <w:pPr>
              <w:snapToGrid w:val="0"/>
              <w:ind w:left="0" w:leftChars="0" w:right="0" w:rightChars="0" w:firstLine="0" w:firstLineChars="0"/>
              <w:jc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15823299700</w:t>
            </w:r>
          </w:p>
        </w:tc>
      </w:tr>
    </w:tbl>
    <w:p w14:paraId="269B231C">
      <w:pPr>
        <w:rPr>
          <w:rFonts w:hint="eastAsia"/>
        </w:rPr>
      </w:pPr>
    </w:p>
    <w:p w14:paraId="5324ED3C">
      <w:pPr>
        <w:spacing w:line="640" w:lineRule="exact"/>
        <w:ind w:firstLine="643" w:firstLineChars="200"/>
        <w:jc w:val="left"/>
        <w:rPr>
          <w:rFonts w:hint="eastAsia" w:ascii="仿宋_GB2312" w:hAnsi="仿宋" w:eastAsia="仿宋_GB2312" w:cs="宋体"/>
          <w:b/>
          <w:bCs/>
          <w:sz w:val="32"/>
          <w:szCs w:val="32"/>
        </w:rPr>
      </w:pPr>
      <w:r>
        <w:rPr>
          <w:rFonts w:hint="eastAsia" w:ascii="仿宋_GB2312" w:hAnsi="仿宋" w:eastAsia="仿宋_GB2312" w:cs="宋体"/>
          <w:b/>
          <w:bCs/>
          <w:sz w:val="32"/>
          <w:szCs w:val="32"/>
          <w:lang w:val="en-US" w:eastAsia="zh-CN"/>
        </w:rPr>
        <w:t>3.</w:t>
      </w:r>
      <w:r>
        <w:rPr>
          <w:rFonts w:hint="eastAsia" w:ascii="仿宋_GB2312" w:hAnsi="仿宋" w:eastAsia="仿宋_GB2312" w:cs="宋体"/>
          <w:b/>
          <w:bCs/>
          <w:sz w:val="32"/>
          <w:szCs w:val="32"/>
        </w:rPr>
        <w:t>学院审查与考核</w:t>
      </w:r>
    </w:p>
    <w:p w14:paraId="42B93280">
      <w:pPr>
        <w:spacing w:line="640" w:lineRule="exact"/>
        <w:ind w:firstLine="640" w:firstLineChars="200"/>
        <w:jc w:val="left"/>
        <w:rPr>
          <w:rFonts w:hint="eastAsia" w:ascii="仿宋_GB2312" w:hAnsi="仿宋" w:eastAsia="仿宋_GB2312" w:cs="宋体"/>
          <w:sz w:val="32"/>
          <w:szCs w:val="32"/>
        </w:rPr>
      </w:pPr>
      <w:r>
        <w:rPr>
          <w:rFonts w:hint="eastAsia" w:ascii="仿宋_GB2312" w:hAnsi="仿宋" w:eastAsia="仿宋_GB2312" w:cs="宋体"/>
          <w:sz w:val="32"/>
          <w:szCs w:val="32"/>
        </w:rPr>
        <w:t>2026年3月9日- 3月10日，学院组织拟转入学生考核。学生申请由教务处线上资格审查后转学院，学院于2026 年3月11日前完成线上审核（所有学生均需在审核意见处给出学院转专业工作小组具体审核意见），并将《转专业考核结果通知单》送达学生本人。教务处复核后公示拟转专业名单。</w:t>
      </w:r>
    </w:p>
    <w:p w14:paraId="3FD5C983">
      <w:pPr>
        <w:spacing w:line="640" w:lineRule="exact"/>
        <w:ind w:firstLine="643" w:firstLineChars="200"/>
        <w:jc w:val="left"/>
        <w:rPr>
          <w:rFonts w:hint="eastAsia" w:ascii="仿宋_GB2312" w:hAnsi="仿宋" w:eastAsia="仿宋_GB2312" w:cs="宋体"/>
          <w:b/>
          <w:bCs/>
          <w:sz w:val="32"/>
          <w:szCs w:val="32"/>
        </w:rPr>
      </w:pPr>
      <w:r>
        <w:rPr>
          <w:rFonts w:hint="eastAsia" w:ascii="仿宋_GB2312" w:hAnsi="仿宋" w:eastAsia="仿宋_GB2312" w:cs="宋体"/>
          <w:b/>
          <w:bCs/>
          <w:sz w:val="32"/>
          <w:szCs w:val="32"/>
          <w:lang w:val="en-US" w:eastAsia="zh-CN"/>
        </w:rPr>
        <w:t>4.</w:t>
      </w:r>
      <w:r>
        <w:rPr>
          <w:rFonts w:hint="eastAsia" w:ascii="仿宋_GB2312" w:hAnsi="仿宋" w:eastAsia="仿宋_GB2312" w:cs="宋体"/>
          <w:b/>
          <w:bCs/>
          <w:sz w:val="32"/>
          <w:szCs w:val="32"/>
        </w:rPr>
        <w:t>学校审批</w:t>
      </w:r>
    </w:p>
    <w:p w14:paraId="0068A7CF">
      <w:pPr>
        <w:spacing w:line="640" w:lineRule="exact"/>
        <w:ind w:firstLine="640" w:firstLineChars="200"/>
        <w:jc w:val="left"/>
        <w:rPr>
          <w:rFonts w:hint="eastAsia" w:ascii="仿宋_GB2312" w:hAnsi="仿宋" w:eastAsia="仿宋_GB2312" w:cs="宋体"/>
          <w:sz w:val="32"/>
          <w:szCs w:val="32"/>
        </w:rPr>
      </w:pPr>
      <w:r>
        <w:rPr>
          <w:rFonts w:hint="eastAsia" w:ascii="仿宋_GB2312" w:hAnsi="仿宋" w:eastAsia="仿宋_GB2312" w:cs="宋体"/>
          <w:sz w:val="32"/>
          <w:szCs w:val="32"/>
        </w:rPr>
        <w:t>名单公示若无异议报学校审批，行文公布转专业（含降级转专业）学生名单。</w:t>
      </w:r>
    </w:p>
    <w:p w14:paraId="5D500C09">
      <w:pPr>
        <w:spacing w:line="640" w:lineRule="exact"/>
        <w:ind w:firstLine="643" w:firstLineChars="200"/>
        <w:jc w:val="left"/>
        <w:rPr>
          <w:rFonts w:hint="eastAsia" w:ascii="仿宋_GB2312" w:hAnsi="仿宋" w:eastAsia="仿宋_GB2312" w:cs="宋体"/>
          <w:b/>
          <w:bCs/>
          <w:sz w:val="32"/>
          <w:szCs w:val="32"/>
        </w:rPr>
      </w:pPr>
      <w:r>
        <w:rPr>
          <w:rFonts w:hint="eastAsia" w:ascii="仿宋_GB2312" w:hAnsi="仿宋" w:eastAsia="仿宋_GB2312" w:cs="宋体"/>
          <w:b/>
          <w:bCs/>
          <w:sz w:val="32"/>
          <w:szCs w:val="32"/>
          <w:lang w:val="en-US" w:eastAsia="zh-CN"/>
        </w:rPr>
        <w:t>5.</w:t>
      </w:r>
      <w:r>
        <w:rPr>
          <w:rFonts w:hint="eastAsia" w:ascii="仿宋_GB2312" w:hAnsi="仿宋" w:eastAsia="仿宋_GB2312" w:cs="宋体"/>
          <w:b/>
          <w:bCs/>
          <w:sz w:val="32"/>
          <w:szCs w:val="32"/>
        </w:rPr>
        <w:t>学生报到</w:t>
      </w:r>
    </w:p>
    <w:p w14:paraId="464F6D76">
      <w:pPr>
        <w:spacing w:line="640" w:lineRule="exact"/>
        <w:ind w:firstLine="640" w:firstLineChars="200"/>
        <w:jc w:val="left"/>
        <w:rPr>
          <w:rFonts w:hint="eastAsia" w:ascii="仿宋_GB2312" w:hAnsi="仿宋" w:eastAsia="仿宋_GB2312" w:cs="宋体"/>
          <w:sz w:val="32"/>
          <w:szCs w:val="32"/>
        </w:rPr>
      </w:pPr>
      <w:r>
        <w:rPr>
          <w:rFonts w:hint="eastAsia" w:ascii="仿宋_GB2312" w:hAnsi="仿宋" w:eastAsia="仿宋_GB2312" w:cs="宋体"/>
          <w:sz w:val="32"/>
          <w:szCs w:val="32"/>
        </w:rPr>
        <w:t>申请转专业的学生在未获准转专业之前，必须参加原专业学习，不得私自前往拟转入学院。被批准后一周内，学生到转入专业所在学院报到就读。逾期未报到者，按自动放弃处理。</w:t>
      </w:r>
    </w:p>
    <w:p w14:paraId="2B4E5B3C">
      <w:pPr>
        <w:spacing w:line="640" w:lineRule="exact"/>
        <w:ind w:firstLine="643" w:firstLineChars="200"/>
        <w:jc w:val="left"/>
        <w:rPr>
          <w:rFonts w:hint="eastAsia" w:ascii="仿宋_GB2312" w:hAnsi="仿宋" w:eastAsia="仿宋_GB2312" w:cs="宋体"/>
          <w:b/>
          <w:bCs/>
          <w:sz w:val="32"/>
          <w:szCs w:val="32"/>
        </w:rPr>
      </w:pPr>
      <w:r>
        <w:rPr>
          <w:rFonts w:hint="eastAsia" w:ascii="仿宋_GB2312" w:hAnsi="仿宋" w:eastAsia="仿宋_GB2312" w:cs="宋体"/>
          <w:b/>
          <w:bCs/>
          <w:sz w:val="32"/>
          <w:szCs w:val="32"/>
          <w:lang w:val="en-US" w:eastAsia="zh-CN"/>
        </w:rPr>
        <w:t>6.</w:t>
      </w:r>
      <w:r>
        <w:rPr>
          <w:rFonts w:hint="eastAsia" w:ascii="仿宋_GB2312" w:hAnsi="仿宋" w:eastAsia="仿宋_GB2312" w:cs="宋体"/>
          <w:b/>
          <w:bCs/>
          <w:sz w:val="32"/>
          <w:szCs w:val="32"/>
        </w:rPr>
        <w:t>缴费注册</w:t>
      </w:r>
    </w:p>
    <w:p w14:paraId="363D40B7">
      <w:pPr>
        <w:spacing w:line="640" w:lineRule="exact"/>
        <w:ind w:firstLine="640" w:firstLineChars="200"/>
        <w:jc w:val="left"/>
        <w:rPr>
          <w:rFonts w:hint="eastAsia" w:ascii="仿宋_GB2312" w:hAnsi="仿宋" w:eastAsia="仿宋_GB2312" w:cs="宋体"/>
          <w:sz w:val="32"/>
          <w:szCs w:val="32"/>
        </w:rPr>
      </w:pPr>
      <w:r>
        <w:rPr>
          <w:rFonts w:hint="eastAsia" w:ascii="仿宋_GB2312" w:hAnsi="仿宋" w:eastAsia="仿宋_GB2312" w:cs="宋体"/>
          <w:sz w:val="32"/>
          <w:szCs w:val="32"/>
        </w:rPr>
        <w:t>转专业学生按转入专业的学费标准缴纳学费，学校负责完成学生的学籍电子注册。</w:t>
      </w:r>
    </w:p>
    <w:p w14:paraId="64ECF2D6">
      <w:pPr>
        <w:spacing w:line="640" w:lineRule="exact"/>
        <w:ind w:firstLine="643" w:firstLineChars="200"/>
        <w:jc w:val="left"/>
        <w:rPr>
          <w:rFonts w:hint="eastAsia" w:ascii="仿宋_GB2312" w:hAnsi="仿宋" w:eastAsia="仿宋_GB2312" w:cs="宋体"/>
          <w:b/>
          <w:bCs/>
          <w:sz w:val="32"/>
          <w:szCs w:val="32"/>
        </w:rPr>
      </w:pPr>
      <w:r>
        <w:rPr>
          <w:rFonts w:hint="eastAsia" w:ascii="仿宋_GB2312" w:hAnsi="仿宋" w:eastAsia="仿宋_GB2312" w:cs="宋体"/>
          <w:b/>
          <w:bCs/>
          <w:sz w:val="32"/>
          <w:szCs w:val="32"/>
          <w:lang w:val="en-US" w:eastAsia="zh-CN"/>
        </w:rPr>
        <w:t>7.</w:t>
      </w:r>
      <w:r>
        <w:rPr>
          <w:rFonts w:hint="eastAsia" w:ascii="仿宋_GB2312" w:hAnsi="仿宋" w:eastAsia="仿宋_GB2312" w:cs="宋体"/>
          <w:b/>
          <w:bCs/>
          <w:sz w:val="32"/>
          <w:szCs w:val="32"/>
        </w:rPr>
        <w:t>学籍异动</w:t>
      </w:r>
    </w:p>
    <w:p w14:paraId="4195FB9A">
      <w:pPr>
        <w:spacing w:line="640" w:lineRule="exact"/>
        <w:ind w:firstLine="640" w:firstLineChars="200"/>
        <w:jc w:val="left"/>
        <w:rPr>
          <w:rFonts w:hint="eastAsia" w:ascii="仿宋_GB2312" w:hAnsi="仿宋" w:eastAsia="仿宋_GB2312" w:cs="宋体"/>
          <w:sz w:val="32"/>
          <w:szCs w:val="32"/>
        </w:rPr>
      </w:pPr>
      <w:r>
        <w:rPr>
          <w:rFonts w:hint="eastAsia" w:ascii="仿宋_GB2312" w:hAnsi="仿宋" w:eastAsia="仿宋_GB2312" w:cs="宋体"/>
          <w:sz w:val="32"/>
          <w:szCs w:val="32"/>
        </w:rPr>
        <w:t>教务处根据学校批准的转专业名单在教务管理系统和学信网进行学籍异动。</w:t>
      </w:r>
    </w:p>
    <w:p w14:paraId="3D3F765F">
      <w:pPr>
        <w:spacing w:line="640" w:lineRule="exact"/>
        <w:ind w:firstLine="643" w:firstLineChars="200"/>
        <w:jc w:val="left"/>
        <w:rPr>
          <w:rFonts w:hint="eastAsia" w:ascii="仿宋_GB2312" w:hAnsi="仿宋" w:eastAsia="仿宋_GB2312" w:cs="宋体"/>
          <w:b/>
          <w:bCs/>
          <w:sz w:val="32"/>
          <w:szCs w:val="32"/>
        </w:rPr>
      </w:pPr>
      <w:r>
        <w:rPr>
          <w:rFonts w:hint="eastAsia" w:ascii="仿宋_GB2312" w:hAnsi="仿宋" w:eastAsia="仿宋_GB2312" w:cs="宋体"/>
          <w:b/>
          <w:bCs/>
          <w:sz w:val="32"/>
          <w:szCs w:val="32"/>
          <w:lang w:val="en-US" w:eastAsia="zh-CN"/>
        </w:rPr>
        <w:t>8.</w:t>
      </w:r>
      <w:r>
        <w:rPr>
          <w:rFonts w:hint="eastAsia" w:ascii="仿宋_GB2312" w:hAnsi="仿宋" w:eastAsia="仿宋_GB2312" w:cs="宋体"/>
          <w:b/>
          <w:bCs/>
          <w:sz w:val="32"/>
          <w:szCs w:val="32"/>
        </w:rPr>
        <w:t>学院管理</w:t>
      </w:r>
    </w:p>
    <w:p w14:paraId="208DD194">
      <w:pPr>
        <w:spacing w:line="640" w:lineRule="exact"/>
        <w:ind w:firstLine="640" w:firstLineChars="200"/>
        <w:jc w:val="left"/>
        <w:rPr>
          <w:rFonts w:hint="eastAsia" w:ascii="仿宋_GB2312" w:hAnsi="仿宋" w:eastAsia="仿宋_GB2312" w:cs="宋体"/>
          <w:sz w:val="32"/>
          <w:szCs w:val="32"/>
        </w:rPr>
      </w:pPr>
      <w:r>
        <w:rPr>
          <w:rFonts w:hint="eastAsia" w:ascii="仿宋_GB2312" w:hAnsi="仿宋" w:eastAsia="仿宋_GB2312" w:cs="宋体"/>
          <w:sz w:val="32"/>
          <w:szCs w:val="32"/>
        </w:rPr>
        <w:t>学院将加强对转入学生的管理，并帮助他们制定新的修读计划。</w:t>
      </w:r>
    </w:p>
    <w:p w14:paraId="22B6AB77">
      <w:pPr>
        <w:spacing w:line="640" w:lineRule="exact"/>
        <w:ind w:firstLine="643" w:firstLineChars="200"/>
        <w:jc w:val="left"/>
        <w:rPr>
          <w:rFonts w:hint="eastAsia" w:ascii="仿宋_GB2312" w:hAnsi="仿宋" w:eastAsia="仿宋_GB2312" w:cs="宋体"/>
          <w:b/>
          <w:bCs/>
          <w:sz w:val="32"/>
          <w:szCs w:val="32"/>
        </w:rPr>
      </w:pPr>
      <w:r>
        <w:rPr>
          <w:rFonts w:hint="eastAsia" w:ascii="仿宋_GB2312" w:hAnsi="仿宋" w:eastAsia="仿宋_GB2312" w:cs="宋体"/>
          <w:b/>
          <w:bCs/>
          <w:sz w:val="32"/>
          <w:szCs w:val="32"/>
        </w:rPr>
        <w:t>六、后续管理</w:t>
      </w:r>
    </w:p>
    <w:p w14:paraId="72D4DE20">
      <w:pPr>
        <w:spacing w:line="640" w:lineRule="exact"/>
        <w:ind w:firstLine="643" w:firstLineChars="200"/>
        <w:jc w:val="left"/>
        <w:rPr>
          <w:rFonts w:hint="eastAsia" w:ascii="仿宋_GB2312" w:hAnsi="仿宋" w:eastAsia="仿宋_GB2312" w:cs="宋体"/>
          <w:b/>
          <w:bCs/>
          <w:sz w:val="32"/>
          <w:szCs w:val="32"/>
        </w:rPr>
      </w:pPr>
      <w:r>
        <w:rPr>
          <w:rFonts w:hint="eastAsia" w:ascii="仿宋_GB2312" w:hAnsi="仿宋" w:eastAsia="仿宋_GB2312" w:cs="宋体"/>
          <w:b/>
          <w:bCs/>
          <w:sz w:val="32"/>
          <w:szCs w:val="32"/>
          <w:lang w:val="en-US" w:eastAsia="zh-CN"/>
        </w:rPr>
        <w:t>1.</w:t>
      </w:r>
      <w:r>
        <w:rPr>
          <w:rFonts w:hint="eastAsia" w:ascii="仿宋_GB2312" w:hAnsi="仿宋" w:eastAsia="仿宋_GB2312" w:cs="宋体"/>
          <w:b/>
          <w:bCs/>
          <w:sz w:val="32"/>
          <w:szCs w:val="32"/>
        </w:rPr>
        <w:t>课程补修</w:t>
      </w:r>
    </w:p>
    <w:p w14:paraId="49192477">
      <w:pPr>
        <w:spacing w:line="640" w:lineRule="exact"/>
        <w:ind w:firstLine="640" w:firstLineChars="200"/>
        <w:jc w:val="left"/>
        <w:rPr>
          <w:rFonts w:hint="eastAsia" w:ascii="仿宋_GB2312" w:hAnsi="仿宋" w:eastAsia="仿宋_GB2312" w:cs="宋体"/>
          <w:sz w:val="32"/>
          <w:szCs w:val="32"/>
        </w:rPr>
      </w:pPr>
      <w:r>
        <w:rPr>
          <w:rFonts w:hint="eastAsia" w:ascii="仿宋_GB2312" w:hAnsi="仿宋" w:eastAsia="仿宋_GB2312" w:cs="宋体"/>
          <w:sz w:val="32"/>
          <w:szCs w:val="32"/>
        </w:rPr>
        <w:t>学生转专业后，必须严格执行转入专业的人才培养方案，主动核对、补修转入专业相关课程，学院下达《学籍异动学业情况通知单》至学生本人并交教务处备案。转专业当学期课程耽误的学时学生以自学为主进行补足。</w:t>
      </w:r>
    </w:p>
    <w:p w14:paraId="75E87361">
      <w:pPr>
        <w:spacing w:line="640" w:lineRule="exact"/>
        <w:ind w:firstLine="643" w:firstLineChars="200"/>
        <w:jc w:val="left"/>
        <w:rPr>
          <w:rFonts w:hint="eastAsia" w:ascii="仿宋_GB2312" w:hAnsi="仿宋" w:eastAsia="仿宋_GB2312" w:cs="宋体"/>
          <w:b/>
          <w:bCs/>
          <w:sz w:val="32"/>
          <w:szCs w:val="32"/>
        </w:rPr>
      </w:pPr>
      <w:r>
        <w:rPr>
          <w:rFonts w:hint="eastAsia" w:ascii="仿宋_GB2312" w:hAnsi="仿宋" w:eastAsia="仿宋_GB2312" w:cs="宋体"/>
          <w:b/>
          <w:bCs/>
          <w:sz w:val="32"/>
          <w:szCs w:val="32"/>
          <w:lang w:val="en-US" w:eastAsia="zh-CN"/>
        </w:rPr>
        <w:t>2.</w:t>
      </w:r>
      <w:r>
        <w:rPr>
          <w:rFonts w:hint="eastAsia" w:ascii="仿宋_GB2312" w:hAnsi="仿宋" w:eastAsia="仿宋_GB2312" w:cs="宋体"/>
          <w:b/>
          <w:bCs/>
          <w:sz w:val="32"/>
          <w:szCs w:val="32"/>
        </w:rPr>
        <w:t>学分认定</w:t>
      </w:r>
    </w:p>
    <w:p w14:paraId="7C531C1D">
      <w:pPr>
        <w:spacing w:line="640" w:lineRule="exact"/>
        <w:ind w:firstLine="640" w:firstLineChars="200"/>
        <w:jc w:val="left"/>
        <w:rPr>
          <w:rFonts w:hint="eastAsia" w:ascii="仿宋_GB2312" w:hAnsi="仿宋" w:eastAsia="仿宋_GB2312" w:cs="宋体"/>
          <w:sz w:val="32"/>
          <w:szCs w:val="32"/>
        </w:rPr>
      </w:pPr>
      <w:r>
        <w:rPr>
          <w:rFonts w:hint="eastAsia" w:ascii="仿宋_GB2312" w:hAnsi="仿宋" w:eastAsia="仿宋_GB2312" w:cs="宋体"/>
          <w:sz w:val="32"/>
          <w:szCs w:val="32"/>
        </w:rPr>
        <w:t>经批准转专业的学生，原专业所学的通识教育课程成绩仍然有效；原专业所学的专业教育课程成绩按通识选修课成绩记入成绩档案，并按新专业要求补修完成规定课程和实践环节。毕业后的毕业证书、学位证书等学籍证明文件与转入专业一致。</w:t>
      </w:r>
    </w:p>
    <w:p w14:paraId="679CF40A">
      <w:pPr>
        <w:spacing w:line="640" w:lineRule="exact"/>
        <w:ind w:firstLine="643" w:firstLineChars="200"/>
        <w:jc w:val="left"/>
        <w:rPr>
          <w:rFonts w:hint="eastAsia" w:ascii="仿宋_GB2312" w:hAnsi="仿宋" w:eastAsia="仿宋_GB2312" w:cs="宋体"/>
          <w:b/>
          <w:bCs/>
          <w:sz w:val="32"/>
          <w:szCs w:val="32"/>
        </w:rPr>
      </w:pPr>
      <w:r>
        <w:rPr>
          <w:rFonts w:hint="eastAsia" w:ascii="仿宋_GB2312" w:hAnsi="仿宋" w:eastAsia="仿宋_GB2312" w:cs="宋体"/>
          <w:b/>
          <w:bCs/>
          <w:sz w:val="32"/>
          <w:szCs w:val="32"/>
          <w:lang w:val="en-US" w:eastAsia="zh-CN"/>
        </w:rPr>
        <w:t>3.</w:t>
      </w:r>
      <w:r>
        <w:rPr>
          <w:rFonts w:hint="eastAsia" w:ascii="仿宋_GB2312" w:hAnsi="仿宋" w:eastAsia="仿宋_GB2312" w:cs="宋体"/>
          <w:b/>
          <w:bCs/>
          <w:sz w:val="32"/>
          <w:szCs w:val="32"/>
        </w:rPr>
        <w:t>学生管理</w:t>
      </w:r>
    </w:p>
    <w:p w14:paraId="674BCB33">
      <w:pPr>
        <w:spacing w:line="640" w:lineRule="exact"/>
        <w:ind w:firstLine="640" w:firstLineChars="200"/>
        <w:jc w:val="left"/>
        <w:rPr>
          <w:rFonts w:hint="eastAsia" w:ascii="仿宋_GB2312" w:hAnsi="仿宋" w:eastAsia="仿宋_GB2312" w:cs="宋体"/>
          <w:sz w:val="32"/>
          <w:szCs w:val="32"/>
        </w:rPr>
      </w:pPr>
      <w:r>
        <w:rPr>
          <w:rFonts w:hint="eastAsia" w:ascii="仿宋_GB2312" w:hAnsi="仿宋" w:eastAsia="仿宋_GB2312" w:cs="宋体"/>
          <w:sz w:val="32"/>
          <w:szCs w:val="32"/>
        </w:rPr>
        <w:t>学生转专业后参加评优评先、奖助学金评定、宿舍调整、教材购买等事宜按学校相关规定执行。</w:t>
      </w:r>
    </w:p>
    <w:p w14:paraId="15DFB745">
      <w:pPr>
        <w:spacing w:line="640" w:lineRule="exact"/>
        <w:ind w:firstLine="643" w:firstLineChars="200"/>
        <w:jc w:val="left"/>
        <w:rPr>
          <w:rFonts w:hint="eastAsia" w:ascii="仿宋_GB2312" w:hAnsi="仿宋" w:eastAsia="仿宋_GB2312" w:cs="宋体"/>
          <w:b/>
          <w:bCs/>
          <w:sz w:val="32"/>
          <w:szCs w:val="32"/>
        </w:rPr>
      </w:pPr>
      <w:r>
        <w:rPr>
          <w:rFonts w:hint="eastAsia" w:ascii="仿宋_GB2312" w:hAnsi="仿宋" w:eastAsia="仿宋_GB2312" w:cs="宋体"/>
          <w:b/>
          <w:bCs/>
          <w:sz w:val="32"/>
          <w:szCs w:val="32"/>
        </w:rPr>
        <w:t>七、附则</w:t>
      </w:r>
    </w:p>
    <w:p w14:paraId="6D5A16C6">
      <w:pPr>
        <w:spacing w:line="640" w:lineRule="exact"/>
        <w:ind w:firstLine="640" w:firstLineChars="200"/>
        <w:jc w:val="left"/>
        <w:rPr>
          <w:rFonts w:hint="eastAsia" w:ascii="仿宋_GB2312" w:hAnsi="仿宋" w:eastAsia="仿宋_GB2312" w:cs="宋体"/>
          <w:sz w:val="32"/>
          <w:szCs w:val="32"/>
        </w:rPr>
      </w:pPr>
      <w:r>
        <w:rPr>
          <w:rFonts w:hint="eastAsia" w:ascii="仿宋_GB2312" w:hAnsi="仿宋" w:eastAsia="仿宋_GB2312" w:cs="宋体"/>
          <w:sz w:val="32"/>
          <w:szCs w:val="32"/>
        </w:rPr>
        <w:t>本方案由人工智能与信息安全学院转专业工作领导小组和考核小组负责解释，其他未尽事宜，请关注教务处官网。</w:t>
      </w:r>
    </w:p>
    <w:p w14:paraId="68FD54B8">
      <w:pPr>
        <w:spacing w:line="640" w:lineRule="exact"/>
        <w:ind w:firstLine="640" w:firstLineChars="200"/>
        <w:jc w:val="left"/>
        <w:rPr>
          <w:rFonts w:hint="eastAsia" w:ascii="仿宋_GB2312" w:hAnsi="仿宋" w:eastAsia="仿宋_GB2312" w:cs="宋体"/>
          <w:sz w:val="32"/>
          <w:szCs w:val="32"/>
        </w:rPr>
      </w:pPr>
      <w:r>
        <w:rPr>
          <w:rFonts w:hint="eastAsia" w:ascii="仿宋_GB2312" w:hAnsi="仿宋" w:eastAsia="仿宋_GB2312" w:cs="宋体"/>
          <w:sz w:val="32"/>
          <w:szCs w:val="32"/>
        </w:rPr>
        <w:t>教务处官网：</w:t>
      </w:r>
      <w:r>
        <w:rPr>
          <w:rFonts w:hint="default" w:ascii="Times New Roman" w:hAnsi="Times New Roman" w:eastAsia="仿宋_GB2312" w:cs="Times New Roman"/>
          <w:sz w:val="32"/>
          <w:szCs w:val="32"/>
        </w:rPr>
        <w:t>http://jwc.cqrk.edu.cn</w:t>
      </w:r>
    </w:p>
    <w:p w14:paraId="712A52AC">
      <w:pPr>
        <w:spacing w:line="640" w:lineRule="exact"/>
        <w:ind w:firstLine="640" w:firstLineChars="200"/>
        <w:jc w:val="left"/>
        <w:rPr>
          <w:rFonts w:hint="eastAsia" w:ascii="仿宋_GB2312" w:hAnsi="仿宋" w:eastAsia="仿宋_GB2312" w:cs="宋体"/>
          <w:sz w:val="32"/>
          <w:szCs w:val="32"/>
        </w:rPr>
      </w:pPr>
      <w:r>
        <w:rPr>
          <w:rFonts w:hint="eastAsia" w:ascii="仿宋_GB2312" w:hAnsi="仿宋" w:eastAsia="仿宋_GB2312" w:cs="宋体"/>
          <w:sz w:val="32"/>
          <w:szCs w:val="32"/>
        </w:rPr>
        <w:t>附件：</w:t>
      </w:r>
    </w:p>
    <w:p w14:paraId="3A23478A">
      <w:pPr>
        <w:spacing w:line="640" w:lineRule="exact"/>
        <w:ind w:firstLine="640" w:firstLineChars="200"/>
        <w:jc w:val="left"/>
        <w:rPr>
          <w:rFonts w:hint="eastAsia" w:ascii="仿宋_GB2312" w:hAnsi="仿宋" w:eastAsia="仿宋_GB2312" w:cs="宋体"/>
          <w:sz w:val="32"/>
          <w:szCs w:val="32"/>
        </w:rPr>
      </w:pPr>
      <w:r>
        <w:rPr>
          <w:rFonts w:hint="default" w:ascii="仿宋_GB2312" w:hAnsi="仿宋" w:eastAsia="仿宋_GB2312" w:cs="宋体"/>
          <w:sz w:val="32"/>
          <w:szCs w:val="32"/>
          <w:lang w:val="en-US"/>
        </w:rPr>
        <w:t>1</w:t>
      </w:r>
      <w:r>
        <w:rPr>
          <w:rFonts w:hint="eastAsia" w:ascii="仿宋_GB2312" w:hAnsi="仿宋" w:eastAsia="仿宋_GB2312" w:cs="宋体"/>
          <w:sz w:val="32"/>
          <w:szCs w:val="32"/>
        </w:rPr>
        <w:t>. 转专业考核结果通知单</w:t>
      </w:r>
    </w:p>
    <w:p w14:paraId="53386E1D">
      <w:pPr>
        <w:spacing w:line="640" w:lineRule="exact"/>
        <w:ind w:firstLine="640" w:firstLineChars="200"/>
        <w:jc w:val="left"/>
        <w:rPr>
          <w:rFonts w:hint="eastAsia" w:ascii="仿宋_GB2312" w:hAnsi="仿宋" w:eastAsia="仿宋_GB2312" w:cs="宋体"/>
          <w:sz w:val="32"/>
          <w:szCs w:val="32"/>
        </w:rPr>
      </w:pPr>
      <w:r>
        <w:rPr>
          <w:rFonts w:hint="default" w:ascii="仿宋_GB2312" w:hAnsi="仿宋" w:eastAsia="仿宋_GB2312" w:cs="宋体"/>
          <w:sz w:val="32"/>
          <w:szCs w:val="32"/>
          <w:lang w:val="en-US"/>
        </w:rPr>
        <w:t>2</w:t>
      </w:r>
      <w:r>
        <w:rPr>
          <w:rFonts w:hint="eastAsia" w:ascii="仿宋_GB2312" w:hAnsi="仿宋" w:eastAsia="仿宋_GB2312" w:cs="宋体"/>
          <w:sz w:val="32"/>
          <w:szCs w:val="32"/>
        </w:rPr>
        <w:t>. 学籍异动学业情况通知单</w:t>
      </w:r>
    </w:p>
    <w:p w14:paraId="1BEC6409">
      <w:pPr>
        <w:spacing w:line="640" w:lineRule="exact"/>
        <w:ind w:firstLine="640" w:firstLineChars="200"/>
        <w:jc w:val="right"/>
        <w:rPr>
          <w:rFonts w:hint="eastAsia" w:ascii="仿宋_GB2312" w:hAnsi="仿宋" w:eastAsia="仿宋_GB2312" w:cs="宋体"/>
          <w:sz w:val="32"/>
          <w:szCs w:val="32"/>
        </w:rPr>
      </w:pPr>
      <w:r>
        <w:rPr>
          <w:rFonts w:hint="eastAsia" w:ascii="仿宋_GB2312" w:hAnsi="仿宋" w:eastAsia="仿宋_GB2312" w:cs="宋体"/>
          <w:sz w:val="32"/>
          <w:szCs w:val="32"/>
        </w:rPr>
        <w:t>重庆人文科技学院人工智能与信息安全学院</w:t>
      </w:r>
    </w:p>
    <w:p w14:paraId="5EF93315">
      <w:pPr>
        <w:spacing w:line="640" w:lineRule="exact"/>
        <w:ind w:firstLine="640" w:firstLineChars="200"/>
        <w:jc w:val="center"/>
        <w:rPr>
          <w:rFonts w:hint="eastAsia"/>
        </w:rPr>
        <w:sectPr>
          <w:footerReference r:id="rId5" w:type="first"/>
          <w:footerReference r:id="rId3" w:type="default"/>
          <w:footerReference r:id="rId4" w:type="even"/>
          <w:pgSz w:w="11906" w:h="16838"/>
          <w:pgMar w:top="2098" w:right="1474" w:bottom="1985" w:left="1588" w:header="851" w:footer="397" w:gutter="0"/>
          <w:pgNumType w:fmt="numberInDash"/>
          <w:cols w:space="720" w:num="1"/>
          <w:docGrid w:type="lines" w:linePitch="312" w:charSpace="0"/>
        </w:sectPr>
      </w:pPr>
      <w:r>
        <w:rPr>
          <w:rFonts w:hint="eastAsia" w:ascii="仿宋_GB2312" w:hAnsi="仿宋" w:eastAsia="仿宋_GB2312" w:cs="宋体"/>
          <w:sz w:val="32"/>
          <w:szCs w:val="32"/>
          <w:lang w:val="en-US" w:eastAsia="zh-CN"/>
        </w:rPr>
        <w:t xml:space="preserve">           </w:t>
      </w:r>
      <w:r>
        <w:rPr>
          <w:rFonts w:hint="eastAsia" w:ascii="仿宋_GB2312" w:hAnsi="仿宋" w:eastAsia="仿宋_GB2312" w:cs="宋体"/>
          <w:sz w:val="32"/>
          <w:szCs w:val="32"/>
        </w:rPr>
        <w:t>2026年1月14日</w:t>
      </w:r>
    </w:p>
    <w:p w14:paraId="6C2B0F4C">
      <w:pPr>
        <w:spacing w:line="600" w:lineRule="exact"/>
        <w:jc w:val="left"/>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eastAsia="zh-CN"/>
        </w:rPr>
        <w:t>附件</w:t>
      </w:r>
      <w:r>
        <w:rPr>
          <w:rFonts w:hint="default" w:ascii="黑体" w:hAnsi="黑体" w:eastAsia="黑体" w:cs="黑体"/>
          <w:sz w:val="32"/>
          <w:szCs w:val="32"/>
          <w:highlight w:val="none"/>
          <w:lang w:val="en-US" w:eastAsia="zh-CN"/>
        </w:rPr>
        <w:t>1</w:t>
      </w:r>
    </w:p>
    <w:p w14:paraId="20F3EBD4">
      <w:pPr>
        <w:widowControl/>
        <w:spacing w:line="285" w:lineRule="atLeast"/>
        <w:jc w:val="center"/>
        <w:rPr>
          <w:rFonts w:hint="eastAsia" w:ascii="宋体" w:hAnsi="宋体" w:cs="宋体"/>
          <w:b/>
          <w:bCs/>
          <w:kern w:val="0"/>
          <w:sz w:val="44"/>
          <w:szCs w:val="44"/>
        </w:rPr>
      </w:pPr>
      <w:r>
        <w:rPr>
          <w:rFonts w:hint="eastAsia" w:ascii="宋体" w:hAnsi="宋体" w:cs="宋体"/>
          <w:b/>
          <w:bCs/>
          <w:kern w:val="0"/>
          <w:sz w:val="44"/>
          <w:szCs w:val="44"/>
        </w:rPr>
        <w:t>转专业</w:t>
      </w:r>
      <w:r>
        <w:rPr>
          <w:rFonts w:hint="eastAsia" w:ascii="宋体" w:hAnsi="宋体" w:cs="宋体"/>
          <w:b/>
          <w:bCs/>
          <w:kern w:val="0"/>
          <w:sz w:val="44"/>
          <w:szCs w:val="44"/>
          <w:lang w:val="en-US" w:eastAsia="zh-CN"/>
        </w:rPr>
        <w:t>考核结果</w:t>
      </w:r>
      <w:r>
        <w:rPr>
          <w:rFonts w:hint="eastAsia" w:ascii="宋体" w:hAnsi="宋体" w:cs="宋体"/>
          <w:b/>
          <w:bCs/>
          <w:kern w:val="0"/>
          <w:sz w:val="44"/>
          <w:szCs w:val="44"/>
        </w:rPr>
        <w:t>通知单</w:t>
      </w:r>
    </w:p>
    <w:p w14:paraId="667D1FD6">
      <w:pPr>
        <w:widowControl/>
        <w:spacing w:line="285" w:lineRule="atLeast"/>
        <w:jc w:val="center"/>
        <w:rPr>
          <w:rFonts w:hint="eastAsia" w:ascii="宋体" w:hAnsi="宋体" w:cs="宋体"/>
          <w:b/>
          <w:bCs/>
          <w:kern w:val="0"/>
          <w:sz w:val="44"/>
          <w:szCs w:val="44"/>
        </w:rPr>
      </w:pPr>
    </w:p>
    <w:p w14:paraId="0BB06C29">
      <w:pPr>
        <w:widowControl/>
        <w:wordWrap w:val="0"/>
        <w:spacing w:line="580" w:lineRule="exact"/>
        <w:rPr>
          <w:rFonts w:ascii="宋体" w:hAnsi="宋体" w:cs="宋体"/>
          <w:kern w:val="0"/>
          <w:sz w:val="32"/>
          <w:szCs w:val="32"/>
        </w:rPr>
      </w:pPr>
      <w:r>
        <w:rPr>
          <w:rFonts w:hint="eastAsia" w:ascii="仿宋_GB2312" w:hAnsi="宋体" w:eastAsia="仿宋_GB2312" w:cs="宋体"/>
          <w:kern w:val="0"/>
          <w:sz w:val="32"/>
          <w:szCs w:val="32"/>
          <w:u w:val="single"/>
        </w:rPr>
        <w:t>        </w:t>
      </w:r>
      <w:r>
        <w:rPr>
          <w:rFonts w:hint="eastAsia" w:ascii="仿宋_GB2312" w:hAnsi="宋体" w:eastAsia="仿宋_GB2312" w:cs="宋体"/>
          <w:kern w:val="0"/>
          <w:sz w:val="32"/>
          <w:szCs w:val="32"/>
        </w:rPr>
        <w:t>同学：</w:t>
      </w:r>
    </w:p>
    <w:p w14:paraId="0331065D">
      <w:pPr>
        <w:widowControl/>
        <w:wordWrap w:val="0"/>
        <w:spacing w:line="580" w:lineRule="exact"/>
        <w:ind w:firstLine="640" w:firstLineChars="200"/>
        <w:jc w:val="both"/>
        <w:rPr>
          <w:rFonts w:hint="eastAsia" w:ascii="仿宋_GB2312" w:hAnsi="宋体" w:eastAsia="仿宋_GB2312"/>
          <w:sz w:val="32"/>
          <w:szCs w:val="32"/>
        </w:rPr>
      </w:pPr>
      <w:r>
        <w:rPr>
          <w:rFonts w:hint="eastAsia" w:ascii="仿宋_GB2312" w:hAnsi="宋体" w:eastAsia="仿宋_GB2312"/>
          <w:sz w:val="32"/>
          <w:szCs w:val="32"/>
          <w:lang w:val="en-US" w:eastAsia="zh-CN"/>
        </w:rPr>
        <w:t xml:space="preserve">根据我院20  -20  学年第  学期转专业工作方案要求， </w:t>
      </w:r>
      <w:r>
        <w:rPr>
          <w:rFonts w:hint="eastAsia" w:ascii="仿宋_GB2312" w:hAnsi="宋体" w:eastAsia="仿宋_GB2312"/>
          <w:sz w:val="32"/>
          <w:szCs w:val="32"/>
          <w:u w:val="single"/>
        </w:rPr>
        <w:t xml:space="preserve">  </w:t>
      </w:r>
      <w:r>
        <w:rPr>
          <w:rFonts w:hint="eastAsia" w:ascii="仿宋_GB2312" w:hAnsi="宋体" w:eastAsia="仿宋_GB2312"/>
          <w:sz w:val="32"/>
          <w:szCs w:val="32"/>
          <w:u w:val="single"/>
          <w:lang w:val="en-US" w:eastAsia="zh-CN"/>
        </w:rPr>
        <w:t xml:space="preserve"> </w:t>
      </w:r>
      <w:r>
        <w:rPr>
          <w:rFonts w:hint="eastAsia" w:ascii="仿宋_GB2312" w:hAnsi="宋体" w:eastAsia="仿宋_GB2312"/>
          <w:sz w:val="32"/>
          <w:szCs w:val="32"/>
          <w:u w:val="single"/>
        </w:rPr>
        <w:t xml:space="preserve"> </w:t>
      </w:r>
      <w:r>
        <w:rPr>
          <w:rFonts w:hint="eastAsia" w:ascii="仿宋_GB2312" w:hAnsi="宋体" w:eastAsia="仿宋_GB2312"/>
          <w:sz w:val="32"/>
          <w:szCs w:val="32"/>
        </w:rPr>
        <w:t>年</w:t>
      </w:r>
      <w:r>
        <w:rPr>
          <w:rFonts w:hint="eastAsia" w:ascii="仿宋_GB2312" w:hAnsi="宋体" w:eastAsia="仿宋_GB2312"/>
          <w:sz w:val="32"/>
          <w:szCs w:val="32"/>
          <w:u w:val="single"/>
        </w:rPr>
        <w:t xml:space="preserve">   </w:t>
      </w:r>
      <w:r>
        <w:rPr>
          <w:rFonts w:hint="eastAsia" w:ascii="仿宋_GB2312" w:hAnsi="宋体" w:eastAsia="仿宋_GB2312"/>
          <w:sz w:val="32"/>
          <w:szCs w:val="32"/>
          <w:lang w:val="en-US" w:eastAsia="zh-CN"/>
        </w:rPr>
        <w:t>月</w:t>
      </w:r>
      <w:r>
        <w:rPr>
          <w:rFonts w:hint="eastAsia" w:ascii="仿宋_GB2312" w:hAnsi="宋体" w:eastAsia="仿宋_GB2312"/>
          <w:sz w:val="32"/>
          <w:szCs w:val="32"/>
          <w:u w:val="single"/>
        </w:rPr>
        <w:t xml:space="preserve">   </w:t>
      </w:r>
      <w:r>
        <w:rPr>
          <w:rFonts w:hint="eastAsia" w:ascii="仿宋_GB2312" w:hAnsi="宋体" w:eastAsia="仿宋_GB2312"/>
          <w:sz w:val="32"/>
          <w:szCs w:val="32"/>
          <w:u w:val="none"/>
          <w:lang w:val="en-US" w:eastAsia="zh-CN"/>
        </w:rPr>
        <w:t>日</w:t>
      </w:r>
      <w:r>
        <w:rPr>
          <w:rFonts w:hint="eastAsia" w:ascii="仿宋_GB2312" w:hAnsi="宋体" w:eastAsia="仿宋_GB2312"/>
          <w:sz w:val="32"/>
          <w:szCs w:val="32"/>
          <w:lang w:val="en-US" w:eastAsia="zh-CN"/>
        </w:rPr>
        <w:t>，你参加了我院转专业考核，考核结果为</w:t>
      </w:r>
      <w:r>
        <w:rPr>
          <w:rFonts w:hint="eastAsia" w:ascii="仿宋_GB2312" w:hAnsi="宋体" w:eastAsia="仿宋_GB2312" w:cs="宋体"/>
          <w:kern w:val="0"/>
          <w:sz w:val="32"/>
          <w:szCs w:val="32"/>
          <w:u w:val="single"/>
          <w:lang w:val="en-US" w:eastAsia="zh-CN"/>
        </w:rPr>
        <w:t xml:space="preserve">                                                                               </w:t>
      </w:r>
      <w:r>
        <w:rPr>
          <w:rFonts w:hint="eastAsia" w:ascii="仿宋_GB2312" w:hAnsi="宋体" w:eastAsia="仿宋_GB2312"/>
          <w:sz w:val="32"/>
          <w:szCs w:val="32"/>
          <w:lang w:val="en-US" w:eastAsia="zh-CN"/>
        </w:rPr>
        <w:t>（不合格的要说明具体原因）</w:t>
      </w:r>
      <w:r>
        <w:rPr>
          <w:rFonts w:hint="eastAsia" w:ascii="仿宋_GB2312" w:hAnsi="宋体" w:eastAsia="仿宋_GB2312"/>
          <w:sz w:val="32"/>
          <w:szCs w:val="32"/>
        </w:rPr>
        <w:t>。</w:t>
      </w:r>
    </w:p>
    <w:p w14:paraId="514EB43F">
      <w:pPr>
        <w:widowControl/>
        <w:wordWrap w:val="0"/>
        <w:spacing w:line="58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特此通知。</w:t>
      </w:r>
    </w:p>
    <w:p w14:paraId="1FEA780A">
      <w:pPr>
        <w:widowControl/>
        <w:wordWrap w:val="0"/>
        <w:spacing w:line="580" w:lineRule="exact"/>
        <w:ind w:firstLine="640" w:firstLineChars="200"/>
        <w:jc w:val="left"/>
        <w:rPr>
          <w:rFonts w:hint="eastAsia" w:ascii="仿宋_GB2312" w:hAnsi="宋体" w:eastAsia="仿宋_GB2312" w:cs="宋体"/>
          <w:kern w:val="0"/>
          <w:sz w:val="32"/>
          <w:szCs w:val="32"/>
        </w:rPr>
      </w:pPr>
    </w:p>
    <w:p w14:paraId="01F55F5F">
      <w:pPr>
        <w:widowControl/>
        <w:wordWrap w:val="0"/>
        <w:spacing w:line="580" w:lineRule="exact"/>
        <w:ind w:firstLine="640" w:firstLineChars="200"/>
        <w:jc w:val="left"/>
        <w:rPr>
          <w:rFonts w:ascii="仿宋_GB2312" w:hAnsi="宋体" w:eastAsia="仿宋_GB2312" w:cs="宋体"/>
          <w:kern w:val="0"/>
          <w:sz w:val="32"/>
          <w:szCs w:val="32"/>
        </w:rPr>
      </w:pPr>
    </w:p>
    <w:p w14:paraId="5D2AC3EF">
      <w:pPr>
        <w:widowControl/>
        <w:wordWrap w:val="0"/>
        <w:spacing w:line="580" w:lineRule="exact"/>
        <w:ind w:firstLine="4480" w:firstLineChars="14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u w:val="single"/>
        </w:rPr>
        <w:t xml:space="preserve">            </w:t>
      </w:r>
      <w:r>
        <w:rPr>
          <w:rFonts w:hint="eastAsia" w:ascii="仿宋_GB2312" w:hAnsi="宋体" w:eastAsia="仿宋_GB2312" w:cs="宋体"/>
          <w:kern w:val="0"/>
          <w:sz w:val="32"/>
          <w:szCs w:val="32"/>
        </w:rPr>
        <w:t>学院（盖章）</w:t>
      </w:r>
    </w:p>
    <w:p w14:paraId="36371390">
      <w:pPr>
        <w:widowControl/>
        <w:wordWrap w:val="0"/>
        <w:spacing w:line="580" w:lineRule="exact"/>
        <w:ind w:firstLine="4800" w:firstLineChars="1500"/>
        <w:jc w:val="left"/>
        <w:rPr>
          <w:rFonts w:ascii="仿宋_GB2312" w:hAnsi="宋体" w:eastAsia="仿宋_GB2312" w:cs="宋体"/>
          <w:kern w:val="0"/>
          <w:sz w:val="32"/>
          <w:szCs w:val="32"/>
        </w:rPr>
      </w:pPr>
      <w:r>
        <w:rPr>
          <w:rFonts w:hint="eastAsia" w:ascii="仿宋_GB2312" w:hAnsi="宋体" w:eastAsia="仿宋_GB2312" w:cs="宋体"/>
          <w:kern w:val="0"/>
          <w:sz w:val="32"/>
          <w:szCs w:val="32"/>
          <w:u w:val="single"/>
        </w:rPr>
        <w:t xml:space="preserve">    </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u w:val="single"/>
        </w:rPr>
        <w:t xml:space="preserve">    </w:t>
      </w:r>
      <w:r>
        <w:rPr>
          <w:rFonts w:hint="eastAsia" w:ascii="仿宋_GB2312" w:hAnsi="宋体" w:eastAsia="仿宋_GB2312" w:cs="宋体"/>
          <w:kern w:val="0"/>
          <w:sz w:val="32"/>
          <w:szCs w:val="32"/>
        </w:rPr>
        <w:t>月</w:t>
      </w:r>
      <w:r>
        <w:rPr>
          <w:rFonts w:hint="eastAsia" w:ascii="仿宋_GB2312" w:hAnsi="宋体" w:eastAsia="仿宋_GB2312" w:cs="宋体"/>
          <w:kern w:val="0"/>
          <w:sz w:val="32"/>
          <w:szCs w:val="32"/>
          <w:u w:val="single"/>
        </w:rPr>
        <w:t xml:space="preserve">   </w:t>
      </w:r>
      <w:r>
        <w:rPr>
          <w:rFonts w:hint="eastAsia" w:ascii="仿宋_GB2312" w:hAnsi="宋体" w:eastAsia="仿宋_GB2312" w:cs="宋体"/>
          <w:kern w:val="0"/>
          <w:sz w:val="32"/>
          <w:szCs w:val="32"/>
        </w:rPr>
        <w:t>日</w:t>
      </w:r>
    </w:p>
    <w:p w14:paraId="1BA0CA34">
      <w:pPr>
        <w:widowControl/>
        <w:wordWrap w:val="0"/>
        <w:spacing w:line="580" w:lineRule="exact"/>
        <w:ind w:firstLine="720"/>
        <w:jc w:val="left"/>
        <w:rPr>
          <w:rFonts w:ascii="仿宋_GB2312" w:hAnsi="宋体" w:eastAsia="仿宋_GB2312" w:cs="宋体"/>
          <w:kern w:val="0"/>
          <w:sz w:val="32"/>
          <w:szCs w:val="32"/>
        </w:rPr>
      </w:pPr>
    </w:p>
    <w:p w14:paraId="7D82E0A8">
      <w:pPr>
        <w:widowControl/>
        <w:wordWrap w:val="0"/>
        <w:spacing w:line="580" w:lineRule="exact"/>
        <w:jc w:val="lef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学生签名：                        </w:t>
      </w:r>
    </w:p>
    <w:p w14:paraId="163EA35E">
      <w:pPr>
        <w:widowControl/>
        <w:wordWrap w:val="0"/>
        <w:spacing w:line="580" w:lineRule="exact"/>
        <w:jc w:val="left"/>
        <w:rPr>
          <w:rFonts w:ascii="仿宋_GB2312" w:hAnsi="宋体" w:eastAsia="仿宋_GB2312" w:cs="宋体"/>
          <w:kern w:val="0"/>
          <w:sz w:val="32"/>
          <w:szCs w:val="32"/>
        </w:rPr>
      </w:pPr>
      <w:r>
        <w:rPr>
          <w:rFonts w:hint="eastAsia" w:ascii="仿宋_GB2312" w:hAnsi="宋体" w:eastAsia="仿宋_GB2312" w:cs="宋体"/>
          <w:kern w:val="0"/>
          <w:sz w:val="32"/>
          <w:szCs w:val="32"/>
        </w:rPr>
        <w:t>时间：</w:t>
      </w:r>
    </w:p>
    <w:p w14:paraId="47F9DC47">
      <w:pPr>
        <w:widowControl/>
        <w:wordWrap w:val="0"/>
        <w:spacing w:line="285" w:lineRule="atLeast"/>
        <w:jc w:val="left"/>
        <w:rPr>
          <w:rFonts w:hint="eastAsia" w:ascii="宋体" w:hAnsi="宋体" w:cs="宋体"/>
          <w:b/>
          <w:bCs/>
          <w:kern w:val="0"/>
          <w:sz w:val="32"/>
          <w:szCs w:val="32"/>
        </w:rPr>
      </w:pPr>
    </w:p>
    <w:p w14:paraId="72311065">
      <w:pPr>
        <w:widowControl/>
        <w:wordWrap w:val="0"/>
        <w:spacing w:line="285" w:lineRule="atLeast"/>
        <w:jc w:val="center"/>
        <w:rPr>
          <w:rFonts w:hint="eastAsia" w:ascii="宋体" w:hAnsi="宋体" w:cs="宋体"/>
          <w:b/>
          <w:bCs/>
          <w:kern w:val="0"/>
          <w:sz w:val="32"/>
          <w:szCs w:val="32"/>
        </w:rPr>
      </w:pPr>
    </w:p>
    <w:p w14:paraId="793DFA05">
      <w:pPr>
        <w:widowControl/>
        <w:wordWrap w:val="0"/>
        <w:spacing w:line="580" w:lineRule="exact"/>
        <w:jc w:val="both"/>
        <w:rPr>
          <w:rFonts w:hint="eastAsia" w:ascii="宋体" w:hAnsi="宋体" w:cs="宋体"/>
          <w:b/>
          <w:bCs/>
          <w:kern w:val="0"/>
          <w:sz w:val="44"/>
          <w:szCs w:val="44"/>
        </w:rPr>
      </w:pPr>
    </w:p>
    <w:p w14:paraId="748019FD">
      <w:pPr>
        <w:rPr>
          <w:rFonts w:hint="eastAsia" w:ascii="宋体" w:hAnsi="宋体" w:eastAsia="仿宋_GB2312" w:cs="宋体"/>
          <w:kern w:val="0"/>
          <w:sz w:val="32"/>
          <w:szCs w:val="32"/>
        </w:rPr>
      </w:pPr>
    </w:p>
    <w:p w14:paraId="59FC9005">
      <w:pPr>
        <w:rPr>
          <w:rFonts w:hint="eastAsia" w:ascii="宋体" w:hAnsi="宋体" w:eastAsia="仿宋_GB2312" w:cs="宋体"/>
          <w:kern w:val="0"/>
          <w:sz w:val="32"/>
          <w:szCs w:val="32"/>
          <w:lang w:eastAsia="zh-CN"/>
        </w:rPr>
      </w:pPr>
      <w:r>
        <w:rPr>
          <w:rFonts w:hint="eastAsia" w:ascii="宋体" w:hAnsi="宋体" w:eastAsia="仿宋_GB2312" w:cs="宋体"/>
          <w:kern w:val="0"/>
          <w:sz w:val="32"/>
          <w:szCs w:val="32"/>
        </w:rPr>
        <w:t>注：此通知一式</w:t>
      </w:r>
      <w:r>
        <w:rPr>
          <w:rFonts w:hint="eastAsia" w:ascii="宋体" w:hAnsi="宋体" w:eastAsia="仿宋_GB2312" w:cs="宋体"/>
          <w:kern w:val="0"/>
          <w:sz w:val="32"/>
          <w:szCs w:val="32"/>
          <w:lang w:val="en-US" w:eastAsia="zh-CN"/>
        </w:rPr>
        <w:t>二</w:t>
      </w:r>
      <w:r>
        <w:rPr>
          <w:rFonts w:hint="eastAsia" w:ascii="宋体" w:hAnsi="宋体" w:eastAsia="仿宋_GB2312" w:cs="宋体"/>
          <w:kern w:val="0"/>
          <w:sz w:val="32"/>
          <w:szCs w:val="32"/>
        </w:rPr>
        <w:t>份，</w:t>
      </w:r>
      <w:r>
        <w:rPr>
          <w:rFonts w:hint="eastAsia" w:ascii="宋体" w:hAnsi="宋体" w:eastAsia="仿宋_GB2312" w:cs="宋体"/>
          <w:kern w:val="0"/>
          <w:sz w:val="32"/>
          <w:szCs w:val="32"/>
          <w:lang w:val="en-US" w:eastAsia="zh-CN"/>
        </w:rPr>
        <w:t>学生、考核</w:t>
      </w:r>
      <w:r>
        <w:rPr>
          <w:rFonts w:hint="eastAsia" w:ascii="宋体" w:hAnsi="宋体" w:eastAsia="仿宋_GB2312" w:cs="宋体"/>
          <w:kern w:val="0"/>
          <w:sz w:val="32"/>
          <w:szCs w:val="32"/>
          <w:lang w:eastAsia="zh-CN"/>
        </w:rPr>
        <w:t>学院</w:t>
      </w:r>
      <w:r>
        <w:rPr>
          <w:rFonts w:hint="eastAsia" w:ascii="宋体" w:hAnsi="宋体" w:eastAsia="仿宋_GB2312" w:cs="宋体"/>
          <w:kern w:val="0"/>
          <w:sz w:val="32"/>
          <w:szCs w:val="32"/>
        </w:rPr>
        <w:t>各存一份</w:t>
      </w:r>
      <w:r>
        <w:rPr>
          <w:rFonts w:hint="eastAsia" w:ascii="宋体" w:hAnsi="宋体" w:eastAsia="仿宋_GB2312" w:cs="宋体"/>
          <w:kern w:val="0"/>
          <w:sz w:val="32"/>
          <w:szCs w:val="32"/>
          <w:lang w:eastAsia="zh-CN"/>
        </w:rPr>
        <w:t>。</w:t>
      </w:r>
    </w:p>
    <w:p w14:paraId="5B5252FA">
      <w:pPr>
        <w:rPr>
          <w:rFonts w:hint="eastAsia" w:ascii="宋体" w:hAnsi="宋体" w:eastAsia="仿宋_GB2312" w:cs="宋体"/>
          <w:kern w:val="0"/>
          <w:sz w:val="32"/>
          <w:szCs w:val="32"/>
          <w:lang w:eastAsia="zh-CN"/>
        </w:rPr>
      </w:pPr>
    </w:p>
    <w:p w14:paraId="7CEF8475">
      <w:pPr>
        <w:spacing w:line="600" w:lineRule="exact"/>
        <w:jc w:val="left"/>
        <w:rPr>
          <w:rFonts w:hint="default"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附件</w:t>
      </w:r>
      <w:r>
        <w:rPr>
          <w:rFonts w:hint="default" w:ascii="黑体" w:hAnsi="黑体" w:eastAsia="黑体" w:cs="黑体"/>
          <w:sz w:val="32"/>
          <w:szCs w:val="32"/>
          <w:highlight w:val="none"/>
          <w:lang w:val="en-US" w:eastAsia="zh-CN"/>
        </w:rPr>
        <w:t>2</w:t>
      </w:r>
    </w:p>
    <w:tbl>
      <w:tblPr>
        <w:tblStyle w:val="4"/>
        <w:tblW w:w="942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85"/>
        <w:gridCol w:w="1771"/>
        <w:gridCol w:w="949"/>
        <w:gridCol w:w="594"/>
        <w:gridCol w:w="1343"/>
        <w:gridCol w:w="748"/>
        <w:gridCol w:w="724"/>
        <w:gridCol w:w="1706"/>
      </w:tblGrid>
      <w:tr w14:paraId="6E0B2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8" w:hRule="atLeast"/>
        </w:trPr>
        <w:tc>
          <w:tcPr>
            <w:tcW w:w="9420" w:type="dxa"/>
            <w:gridSpan w:val="8"/>
            <w:tcBorders>
              <w:top w:val="nil"/>
              <w:left w:val="nil"/>
              <w:bottom w:val="single" w:color="000000" w:sz="4" w:space="0"/>
              <w:right w:val="nil"/>
            </w:tcBorders>
            <w:vAlign w:val="center"/>
          </w:tcPr>
          <w:p w14:paraId="2CE68975">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rPr>
              <w:t>重庆人文科技学院学籍异动学生学业情况通知单</w:t>
            </w:r>
          </w:p>
        </w:tc>
      </w:tr>
      <w:tr w14:paraId="11E9FB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trPr>
        <w:tc>
          <w:tcPr>
            <w:tcW w:w="1585" w:type="dxa"/>
            <w:tcBorders>
              <w:top w:val="single" w:color="000000" w:sz="4" w:space="0"/>
              <w:left w:val="single" w:color="000000" w:sz="4" w:space="0"/>
              <w:bottom w:val="single" w:color="000000" w:sz="4" w:space="0"/>
              <w:right w:val="single" w:color="000000" w:sz="4" w:space="0"/>
            </w:tcBorders>
            <w:vAlign w:val="center"/>
          </w:tcPr>
          <w:p w14:paraId="76A09F5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姓名</w:t>
            </w:r>
          </w:p>
        </w:tc>
        <w:tc>
          <w:tcPr>
            <w:tcW w:w="1771" w:type="dxa"/>
            <w:tcBorders>
              <w:top w:val="single" w:color="000000" w:sz="4" w:space="0"/>
              <w:left w:val="single" w:color="000000" w:sz="4" w:space="0"/>
              <w:bottom w:val="single" w:color="000000" w:sz="4" w:space="0"/>
              <w:right w:val="single" w:color="000000" w:sz="4" w:space="0"/>
            </w:tcBorders>
            <w:vAlign w:val="center"/>
          </w:tcPr>
          <w:p w14:paraId="05F7B276">
            <w:pPr>
              <w:rPr>
                <w:rFonts w:hint="eastAsia" w:ascii="宋体" w:hAnsi="宋体" w:eastAsia="宋体" w:cs="宋体"/>
                <w:i w:val="0"/>
                <w:iCs w:val="0"/>
                <w:color w:val="000000"/>
                <w:sz w:val="22"/>
                <w:szCs w:val="22"/>
                <w:u w:val="none"/>
              </w:rPr>
            </w:pPr>
          </w:p>
        </w:tc>
        <w:tc>
          <w:tcPr>
            <w:tcW w:w="949" w:type="dxa"/>
            <w:tcBorders>
              <w:top w:val="single" w:color="000000" w:sz="4" w:space="0"/>
              <w:left w:val="single" w:color="000000" w:sz="4" w:space="0"/>
              <w:bottom w:val="single" w:color="000000" w:sz="4" w:space="0"/>
              <w:right w:val="single" w:color="000000" w:sz="4" w:space="0"/>
            </w:tcBorders>
            <w:vAlign w:val="center"/>
          </w:tcPr>
          <w:p w14:paraId="5E4425F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性别</w:t>
            </w:r>
          </w:p>
        </w:tc>
        <w:tc>
          <w:tcPr>
            <w:tcW w:w="594" w:type="dxa"/>
            <w:tcBorders>
              <w:top w:val="single" w:color="000000" w:sz="4" w:space="0"/>
              <w:left w:val="single" w:color="000000" w:sz="4" w:space="0"/>
              <w:bottom w:val="single" w:color="000000" w:sz="4" w:space="0"/>
              <w:right w:val="single" w:color="000000" w:sz="4" w:space="0"/>
            </w:tcBorders>
            <w:vAlign w:val="center"/>
          </w:tcPr>
          <w:p w14:paraId="498EBF1F">
            <w:pPr>
              <w:rPr>
                <w:rFonts w:hint="eastAsia" w:ascii="宋体" w:hAnsi="宋体" w:eastAsia="宋体" w:cs="宋体"/>
                <w:i w:val="0"/>
                <w:iCs w:val="0"/>
                <w:color w:val="000000"/>
                <w:sz w:val="22"/>
                <w:szCs w:val="22"/>
                <w:u w:val="none"/>
              </w:rPr>
            </w:pPr>
          </w:p>
        </w:tc>
        <w:tc>
          <w:tcPr>
            <w:tcW w:w="1343" w:type="dxa"/>
            <w:tcBorders>
              <w:top w:val="single" w:color="000000" w:sz="4" w:space="0"/>
              <w:left w:val="single" w:color="000000" w:sz="4" w:space="0"/>
              <w:bottom w:val="single" w:color="000000" w:sz="4" w:space="0"/>
              <w:right w:val="single" w:color="000000" w:sz="4" w:space="0"/>
            </w:tcBorders>
            <w:vAlign w:val="center"/>
          </w:tcPr>
          <w:p w14:paraId="6D834BD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民族</w:t>
            </w:r>
          </w:p>
        </w:tc>
        <w:tc>
          <w:tcPr>
            <w:tcW w:w="748" w:type="dxa"/>
            <w:tcBorders>
              <w:top w:val="single" w:color="000000" w:sz="4" w:space="0"/>
              <w:left w:val="single" w:color="000000" w:sz="4" w:space="0"/>
              <w:bottom w:val="single" w:color="000000" w:sz="4" w:space="0"/>
              <w:right w:val="single" w:color="000000" w:sz="4" w:space="0"/>
            </w:tcBorders>
            <w:vAlign w:val="center"/>
          </w:tcPr>
          <w:p w14:paraId="7D458545">
            <w:pPr>
              <w:rPr>
                <w:rFonts w:hint="eastAsia" w:ascii="宋体" w:hAnsi="宋体" w:eastAsia="宋体" w:cs="宋体"/>
                <w:i w:val="0"/>
                <w:iCs w:val="0"/>
                <w:color w:val="000000"/>
                <w:sz w:val="22"/>
                <w:szCs w:val="22"/>
                <w:u w:val="none"/>
              </w:rPr>
            </w:pPr>
          </w:p>
        </w:tc>
        <w:tc>
          <w:tcPr>
            <w:tcW w:w="724" w:type="dxa"/>
            <w:tcBorders>
              <w:top w:val="single" w:color="000000" w:sz="4" w:space="0"/>
              <w:left w:val="single" w:color="000000" w:sz="4" w:space="0"/>
              <w:bottom w:val="single" w:color="000000" w:sz="4" w:space="0"/>
              <w:right w:val="single" w:color="000000" w:sz="4" w:space="0"/>
            </w:tcBorders>
            <w:vAlign w:val="center"/>
          </w:tcPr>
          <w:p w14:paraId="64AF389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学号</w:t>
            </w:r>
          </w:p>
        </w:tc>
        <w:tc>
          <w:tcPr>
            <w:tcW w:w="1706" w:type="dxa"/>
            <w:tcBorders>
              <w:top w:val="single" w:color="000000" w:sz="4" w:space="0"/>
              <w:left w:val="single" w:color="000000" w:sz="4" w:space="0"/>
              <w:bottom w:val="single" w:color="000000" w:sz="4" w:space="0"/>
              <w:right w:val="single" w:color="000000" w:sz="4" w:space="0"/>
            </w:tcBorders>
            <w:vAlign w:val="center"/>
          </w:tcPr>
          <w:p w14:paraId="3D5697D7">
            <w:pPr>
              <w:rPr>
                <w:rFonts w:hint="eastAsia" w:ascii="宋体" w:hAnsi="宋体" w:eastAsia="宋体" w:cs="宋体"/>
                <w:i w:val="0"/>
                <w:iCs w:val="0"/>
                <w:color w:val="000000"/>
                <w:sz w:val="22"/>
                <w:szCs w:val="22"/>
                <w:u w:val="none"/>
              </w:rPr>
            </w:pPr>
          </w:p>
        </w:tc>
      </w:tr>
      <w:tr w14:paraId="1890B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trPr>
        <w:tc>
          <w:tcPr>
            <w:tcW w:w="1585" w:type="dxa"/>
            <w:tcBorders>
              <w:top w:val="single" w:color="000000" w:sz="4" w:space="0"/>
              <w:left w:val="single" w:color="000000" w:sz="4" w:space="0"/>
              <w:bottom w:val="single" w:color="000000" w:sz="4" w:space="0"/>
              <w:right w:val="single" w:color="000000" w:sz="4" w:space="0"/>
            </w:tcBorders>
            <w:vAlign w:val="center"/>
          </w:tcPr>
          <w:p w14:paraId="418F864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学籍异动类别</w:t>
            </w:r>
          </w:p>
        </w:tc>
        <w:tc>
          <w:tcPr>
            <w:tcW w:w="7835" w:type="dxa"/>
            <w:gridSpan w:val="7"/>
            <w:tcBorders>
              <w:top w:val="single" w:color="000000" w:sz="4" w:space="0"/>
              <w:left w:val="single" w:color="000000" w:sz="4" w:space="0"/>
              <w:bottom w:val="single" w:color="000000" w:sz="4" w:space="0"/>
              <w:right w:val="single" w:color="000000" w:sz="4" w:space="0"/>
            </w:tcBorders>
            <w:vAlign w:val="center"/>
          </w:tcPr>
          <w:p w14:paraId="71F6B0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复学□    转专业</w:t>
            </w:r>
            <w:r>
              <w:rPr>
                <w:rFonts w:hint="eastAsia" w:ascii="宋体" w:hAnsi="宋体" w:eastAsia="宋体" w:cs="宋体"/>
                <w:i w:val="0"/>
                <w:iCs w:val="0"/>
                <w:color w:val="000000"/>
                <w:kern w:val="0"/>
                <w:sz w:val="22"/>
                <w:szCs w:val="22"/>
                <w:u w:val="none"/>
                <w:lang w:val="en-US" w:eastAsia="zh-CN"/>
              </w:rPr>
              <w:sym w:font="Wingdings 2" w:char="0052"/>
            </w:r>
            <w:r>
              <w:rPr>
                <w:rFonts w:hint="eastAsia" w:ascii="宋体" w:hAnsi="宋体" w:eastAsia="宋体" w:cs="宋体"/>
                <w:i w:val="0"/>
                <w:iCs w:val="0"/>
                <w:color w:val="000000"/>
                <w:kern w:val="0"/>
                <w:sz w:val="22"/>
                <w:szCs w:val="22"/>
                <w:u w:val="none"/>
                <w:lang w:val="en-US" w:eastAsia="zh-CN"/>
              </w:rPr>
              <w:t xml:space="preserve">    转学□   专升本□   降级□    其他□</w:t>
            </w:r>
          </w:p>
        </w:tc>
      </w:tr>
      <w:tr w14:paraId="6FE76F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4" w:hRule="atLeast"/>
        </w:trPr>
        <w:tc>
          <w:tcPr>
            <w:tcW w:w="1585" w:type="dxa"/>
            <w:tcBorders>
              <w:top w:val="single" w:color="000000" w:sz="4" w:space="0"/>
              <w:left w:val="single" w:color="000000" w:sz="4" w:space="0"/>
              <w:bottom w:val="single" w:color="000000" w:sz="4" w:space="0"/>
              <w:right w:val="single" w:color="000000" w:sz="4" w:space="0"/>
            </w:tcBorders>
            <w:vAlign w:val="center"/>
          </w:tcPr>
          <w:p w14:paraId="4EB3C7F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学籍异动前年级专业</w:t>
            </w:r>
          </w:p>
        </w:tc>
        <w:tc>
          <w:tcPr>
            <w:tcW w:w="3314" w:type="dxa"/>
            <w:gridSpan w:val="3"/>
            <w:tcBorders>
              <w:top w:val="single" w:color="000000" w:sz="4" w:space="0"/>
              <w:left w:val="single" w:color="000000" w:sz="4" w:space="0"/>
              <w:bottom w:val="single" w:color="000000" w:sz="4" w:space="0"/>
              <w:right w:val="single" w:color="000000" w:sz="4" w:space="0"/>
            </w:tcBorders>
            <w:vAlign w:val="bottom"/>
          </w:tcPr>
          <w:p w14:paraId="1C24B3EA">
            <w:pPr>
              <w:jc w:val="center"/>
              <w:rPr>
                <w:rFonts w:hint="eastAsia" w:ascii="宋体" w:hAnsi="宋体" w:eastAsia="宋体" w:cs="宋体"/>
                <w:i w:val="0"/>
                <w:iCs w:val="0"/>
                <w:color w:val="000000"/>
                <w:sz w:val="22"/>
                <w:szCs w:val="22"/>
                <w:u w:val="none"/>
              </w:rPr>
            </w:pPr>
          </w:p>
        </w:tc>
        <w:tc>
          <w:tcPr>
            <w:tcW w:w="1343" w:type="dxa"/>
            <w:tcBorders>
              <w:top w:val="single" w:color="000000" w:sz="4" w:space="0"/>
              <w:left w:val="single" w:color="000000" w:sz="4" w:space="0"/>
              <w:bottom w:val="single" w:color="000000" w:sz="4" w:space="0"/>
              <w:right w:val="single" w:color="000000" w:sz="4" w:space="0"/>
            </w:tcBorders>
            <w:vAlign w:val="center"/>
          </w:tcPr>
          <w:p w14:paraId="4667E49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学籍异动后年级专业</w:t>
            </w:r>
          </w:p>
        </w:tc>
        <w:tc>
          <w:tcPr>
            <w:tcW w:w="3178" w:type="dxa"/>
            <w:gridSpan w:val="3"/>
            <w:tcBorders>
              <w:top w:val="single" w:color="000000" w:sz="4" w:space="0"/>
              <w:left w:val="nil"/>
              <w:bottom w:val="single" w:color="000000" w:sz="4" w:space="0"/>
              <w:right w:val="single" w:color="000000" w:sz="4" w:space="0"/>
            </w:tcBorders>
            <w:vAlign w:val="center"/>
          </w:tcPr>
          <w:p w14:paraId="28A38ACD">
            <w:pPr>
              <w:jc w:val="center"/>
              <w:rPr>
                <w:rFonts w:hint="eastAsia" w:ascii="宋体" w:hAnsi="宋体" w:eastAsia="宋体" w:cs="宋体"/>
                <w:i w:val="0"/>
                <w:iCs w:val="0"/>
                <w:color w:val="000000"/>
                <w:sz w:val="22"/>
                <w:szCs w:val="22"/>
                <w:u w:val="none"/>
              </w:rPr>
            </w:pPr>
          </w:p>
        </w:tc>
      </w:tr>
      <w:tr w14:paraId="04532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85" w:type="dxa"/>
            <w:vMerge w:val="restart"/>
            <w:tcBorders>
              <w:top w:val="single" w:color="000000" w:sz="4" w:space="0"/>
              <w:left w:val="single" w:color="000000" w:sz="4" w:space="0"/>
              <w:bottom w:val="single" w:color="000000" w:sz="4" w:space="0"/>
              <w:right w:val="single" w:color="000000" w:sz="4" w:space="0"/>
            </w:tcBorders>
            <w:textDirection w:val="tbRlV"/>
            <w:vAlign w:val="center"/>
          </w:tcPr>
          <w:p w14:paraId="7B14D5DD">
            <w:pPr>
              <w:bidi w:val="0"/>
              <w:jc w:val="center"/>
              <w:rPr>
                <w:rFonts w:hint="eastAsia" w:ascii="宋体" w:hAnsi="宋体" w:eastAsia="宋体" w:cs="宋体"/>
                <w:i w:val="0"/>
                <w:iCs w:val="0"/>
                <w:color w:val="000000"/>
                <w:szCs w:val="22"/>
                <w:u w:val="none"/>
              </w:rPr>
            </w:pPr>
            <w:r>
              <w:rPr>
                <w:rFonts w:hint="eastAsia" w:ascii="宋体" w:hAnsi="宋体" w:eastAsia="宋体" w:cs="宋体"/>
                <w:i w:val="0"/>
                <w:iCs w:val="0"/>
                <w:color w:val="000000"/>
                <w:kern w:val="0"/>
                <w:sz w:val="22"/>
                <w:szCs w:val="22"/>
                <w:u w:val="none"/>
                <w:lang w:val="en-US" w:eastAsia="zh-CN"/>
              </w:rPr>
              <w:t>免修（考）课程</w:t>
            </w:r>
          </w:p>
        </w:tc>
        <w:tc>
          <w:tcPr>
            <w:tcW w:w="7835" w:type="dxa"/>
            <w:gridSpan w:val="7"/>
            <w:vMerge w:val="restart"/>
            <w:tcBorders>
              <w:top w:val="single" w:color="000000" w:sz="4" w:space="0"/>
              <w:left w:val="single" w:color="000000" w:sz="4" w:space="0"/>
              <w:bottom w:val="single" w:color="000000" w:sz="4" w:space="0"/>
              <w:right w:val="single" w:color="000000" w:sz="4" w:space="0"/>
            </w:tcBorders>
            <w:vAlign w:val="center"/>
          </w:tcPr>
          <w:p w14:paraId="694E598A">
            <w:pPr>
              <w:jc w:val="center"/>
              <w:rPr>
                <w:rFonts w:hint="eastAsia" w:ascii="宋体" w:hAnsi="宋体" w:eastAsia="宋体" w:cs="宋体"/>
                <w:i w:val="0"/>
                <w:iCs w:val="0"/>
                <w:color w:val="000000"/>
                <w:sz w:val="22"/>
                <w:szCs w:val="22"/>
                <w:u w:val="none"/>
              </w:rPr>
            </w:pPr>
          </w:p>
        </w:tc>
      </w:tr>
      <w:tr w14:paraId="2FB602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85" w:type="dxa"/>
            <w:vMerge w:val="continue"/>
            <w:tcBorders>
              <w:top w:val="single" w:color="000000" w:sz="4" w:space="0"/>
              <w:left w:val="single" w:color="000000" w:sz="4" w:space="0"/>
              <w:bottom w:val="single" w:color="000000" w:sz="4" w:space="0"/>
              <w:right w:val="single" w:color="000000" w:sz="4" w:space="0"/>
            </w:tcBorders>
            <w:textDirection w:val="tbRlV"/>
            <w:vAlign w:val="center"/>
          </w:tcPr>
          <w:p w14:paraId="3C21301C">
            <w:pPr>
              <w:jc w:val="center"/>
              <w:rPr>
                <w:rFonts w:hint="eastAsia" w:ascii="宋体" w:hAnsi="宋体" w:eastAsia="宋体" w:cs="宋体"/>
                <w:i w:val="0"/>
                <w:iCs w:val="0"/>
                <w:color w:val="000000"/>
                <w:sz w:val="22"/>
                <w:szCs w:val="22"/>
                <w:u w:val="none"/>
              </w:rPr>
            </w:pPr>
          </w:p>
        </w:tc>
        <w:tc>
          <w:tcPr>
            <w:tcW w:w="7835" w:type="dxa"/>
            <w:gridSpan w:val="7"/>
            <w:vMerge w:val="continue"/>
            <w:tcBorders>
              <w:top w:val="single" w:color="000000" w:sz="4" w:space="0"/>
              <w:left w:val="single" w:color="000000" w:sz="4" w:space="0"/>
              <w:bottom w:val="single" w:color="000000" w:sz="4" w:space="0"/>
              <w:right w:val="single" w:color="000000" w:sz="4" w:space="0"/>
            </w:tcBorders>
            <w:vAlign w:val="center"/>
          </w:tcPr>
          <w:p w14:paraId="2BFCA793">
            <w:pPr>
              <w:jc w:val="center"/>
              <w:rPr>
                <w:rFonts w:hint="eastAsia" w:ascii="宋体" w:hAnsi="宋体" w:eastAsia="宋体" w:cs="宋体"/>
                <w:i w:val="0"/>
                <w:iCs w:val="0"/>
                <w:color w:val="000000"/>
                <w:sz w:val="22"/>
                <w:szCs w:val="22"/>
                <w:u w:val="none"/>
              </w:rPr>
            </w:pPr>
          </w:p>
        </w:tc>
      </w:tr>
      <w:tr w14:paraId="29A14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8" w:hRule="atLeast"/>
        </w:trPr>
        <w:tc>
          <w:tcPr>
            <w:tcW w:w="1585" w:type="dxa"/>
            <w:vMerge w:val="continue"/>
            <w:tcBorders>
              <w:top w:val="single" w:color="000000" w:sz="4" w:space="0"/>
              <w:left w:val="single" w:color="000000" w:sz="4" w:space="0"/>
              <w:bottom w:val="single" w:color="000000" w:sz="4" w:space="0"/>
              <w:right w:val="single" w:color="000000" w:sz="4" w:space="0"/>
            </w:tcBorders>
            <w:textDirection w:val="tbRlV"/>
            <w:vAlign w:val="center"/>
          </w:tcPr>
          <w:p w14:paraId="3F8FF906">
            <w:pPr>
              <w:jc w:val="center"/>
              <w:rPr>
                <w:rFonts w:hint="eastAsia" w:ascii="宋体" w:hAnsi="宋体" w:eastAsia="宋体" w:cs="宋体"/>
                <w:i w:val="0"/>
                <w:iCs w:val="0"/>
                <w:color w:val="000000"/>
                <w:sz w:val="22"/>
                <w:szCs w:val="22"/>
                <w:u w:val="none"/>
              </w:rPr>
            </w:pPr>
          </w:p>
        </w:tc>
        <w:tc>
          <w:tcPr>
            <w:tcW w:w="7835" w:type="dxa"/>
            <w:gridSpan w:val="7"/>
            <w:vMerge w:val="continue"/>
            <w:tcBorders>
              <w:top w:val="single" w:color="000000" w:sz="4" w:space="0"/>
              <w:left w:val="single" w:color="000000" w:sz="4" w:space="0"/>
              <w:bottom w:val="single" w:color="000000" w:sz="4" w:space="0"/>
              <w:right w:val="single" w:color="000000" w:sz="4" w:space="0"/>
            </w:tcBorders>
            <w:vAlign w:val="center"/>
          </w:tcPr>
          <w:p w14:paraId="31ABCB24">
            <w:pPr>
              <w:jc w:val="center"/>
              <w:rPr>
                <w:rFonts w:hint="eastAsia" w:ascii="宋体" w:hAnsi="宋体" w:eastAsia="宋体" w:cs="宋体"/>
                <w:i w:val="0"/>
                <w:iCs w:val="0"/>
                <w:color w:val="000000"/>
                <w:sz w:val="22"/>
                <w:szCs w:val="22"/>
                <w:u w:val="none"/>
              </w:rPr>
            </w:pPr>
          </w:p>
        </w:tc>
      </w:tr>
      <w:tr w14:paraId="3C1E0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1" w:hRule="atLeast"/>
        </w:trPr>
        <w:tc>
          <w:tcPr>
            <w:tcW w:w="1585" w:type="dxa"/>
            <w:tcBorders>
              <w:top w:val="single" w:color="000000" w:sz="4" w:space="0"/>
              <w:left w:val="single" w:color="000000" w:sz="4" w:space="0"/>
              <w:bottom w:val="single" w:color="000000" w:sz="4" w:space="0"/>
              <w:right w:val="single" w:color="000000" w:sz="4" w:space="0"/>
            </w:tcBorders>
            <w:vAlign w:val="center"/>
          </w:tcPr>
          <w:p w14:paraId="0A0409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学籍异动后所在年级专业应补修课程</w:t>
            </w:r>
          </w:p>
        </w:tc>
        <w:tc>
          <w:tcPr>
            <w:tcW w:w="7835" w:type="dxa"/>
            <w:gridSpan w:val="7"/>
            <w:tcBorders>
              <w:top w:val="single" w:color="000000" w:sz="4" w:space="0"/>
              <w:left w:val="single" w:color="000000" w:sz="4" w:space="0"/>
              <w:bottom w:val="single" w:color="000000" w:sz="4" w:space="0"/>
              <w:right w:val="single" w:color="000000" w:sz="4" w:space="0"/>
            </w:tcBorders>
            <w:vAlign w:val="bottom"/>
          </w:tcPr>
          <w:p w14:paraId="7234D859">
            <w:pPr>
              <w:jc w:val="center"/>
              <w:rPr>
                <w:rFonts w:hint="default" w:ascii="Times New Roman" w:hAnsi="Times New Roman" w:eastAsia="宋体" w:cs="Times New Roman"/>
                <w:i w:val="0"/>
                <w:iCs w:val="0"/>
                <w:color w:val="000000"/>
                <w:sz w:val="22"/>
                <w:szCs w:val="22"/>
                <w:u w:val="none"/>
              </w:rPr>
            </w:pPr>
          </w:p>
        </w:tc>
      </w:tr>
      <w:tr w14:paraId="70110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1" w:hRule="atLeast"/>
        </w:trPr>
        <w:tc>
          <w:tcPr>
            <w:tcW w:w="1585" w:type="dxa"/>
            <w:tcBorders>
              <w:top w:val="single" w:color="000000" w:sz="4" w:space="0"/>
              <w:left w:val="single" w:color="000000" w:sz="4" w:space="0"/>
              <w:bottom w:val="single" w:color="000000" w:sz="4" w:space="0"/>
              <w:right w:val="single" w:color="000000" w:sz="4" w:space="0"/>
            </w:tcBorders>
            <w:vAlign w:val="center"/>
          </w:tcPr>
          <w:p w14:paraId="79DD6B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学生本人意见</w:t>
            </w:r>
          </w:p>
        </w:tc>
        <w:tc>
          <w:tcPr>
            <w:tcW w:w="7835" w:type="dxa"/>
            <w:gridSpan w:val="7"/>
            <w:tcBorders>
              <w:top w:val="single" w:color="000000" w:sz="4" w:space="0"/>
              <w:left w:val="single" w:color="000000" w:sz="4" w:space="0"/>
              <w:bottom w:val="single" w:color="000000" w:sz="4" w:space="0"/>
              <w:right w:val="single" w:color="000000" w:sz="4" w:space="0"/>
            </w:tcBorders>
            <w:vAlign w:val="center"/>
          </w:tcPr>
          <w:p w14:paraId="271E8B6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    按照《重庆人文科技学院学籍管理办法（修订）》（重人科［2017］181号）文件之规定，本人已知晓上述免修（考）、补修课程。                                                                                                               学生本人签名：                           年        月        日</w:t>
            </w:r>
          </w:p>
        </w:tc>
      </w:tr>
      <w:tr w14:paraId="5218B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85" w:type="dxa"/>
            <w:vMerge w:val="restart"/>
            <w:tcBorders>
              <w:top w:val="single" w:color="000000" w:sz="4" w:space="0"/>
              <w:left w:val="single" w:color="000000" w:sz="4" w:space="0"/>
              <w:bottom w:val="single" w:color="000000" w:sz="4" w:space="0"/>
              <w:right w:val="single" w:color="000000" w:sz="4" w:space="0"/>
            </w:tcBorders>
            <w:textDirection w:val="tbRlV"/>
            <w:vAlign w:val="center"/>
          </w:tcPr>
          <w:p w14:paraId="58BBAE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二级学院意见</w:t>
            </w:r>
          </w:p>
        </w:tc>
        <w:tc>
          <w:tcPr>
            <w:tcW w:w="7835" w:type="dxa"/>
            <w:gridSpan w:val="7"/>
            <w:vMerge w:val="restart"/>
            <w:tcBorders>
              <w:top w:val="single" w:color="000000" w:sz="4" w:space="0"/>
              <w:left w:val="single" w:color="000000" w:sz="4" w:space="0"/>
              <w:bottom w:val="single" w:color="000000" w:sz="4" w:space="0"/>
              <w:right w:val="single" w:color="000000" w:sz="4" w:space="0"/>
            </w:tcBorders>
            <w:vAlign w:val="center"/>
          </w:tcPr>
          <w:p w14:paraId="52205B0F">
            <w:pPr>
              <w:keepNext w:val="0"/>
              <w:keepLines w:val="0"/>
              <w:pageBreakBefore w:val="0"/>
              <w:widowControl/>
              <w:suppressLineNumbers w:val="0"/>
              <w:kinsoku/>
              <w:wordWrap/>
              <w:overflowPunct/>
              <w:topLinePunct w:val="0"/>
              <w:autoSpaceDE/>
              <w:autoSpaceDN/>
              <w:bidi w:val="0"/>
              <w:adjustRightInd/>
              <w:snapToGrid/>
              <w:spacing w:after="220" w:afterAutospacing="0" w:line="400" w:lineRule="exact"/>
              <w:jc w:val="left"/>
              <w:textAlignment w:val="center"/>
              <w:rPr>
                <w:rFonts w:hint="eastAsia" w:ascii="宋体" w:hAnsi="宋体" w:eastAsia="宋体" w:cs="宋体"/>
                <w:i w:val="0"/>
                <w:iCs w:val="0"/>
                <w:color w:val="000000"/>
                <w:kern w:val="0"/>
                <w:sz w:val="22"/>
                <w:szCs w:val="22"/>
                <w:u w:val="none"/>
                <w:lang w:val="en-US" w:eastAsia="zh-CN"/>
              </w:rPr>
            </w:pPr>
            <w:r>
              <w:rPr>
                <w:rFonts w:hint="eastAsia" w:ascii="宋体" w:hAnsi="宋体" w:eastAsia="宋体" w:cs="宋体"/>
                <w:i w:val="0"/>
                <w:iCs w:val="0"/>
                <w:color w:val="000000"/>
                <w:kern w:val="0"/>
                <w:sz w:val="22"/>
                <w:szCs w:val="22"/>
                <w:u w:val="none"/>
                <w:lang w:val="en-US" w:eastAsia="zh-CN"/>
              </w:rPr>
              <w:t>教学秘书签字：</w:t>
            </w:r>
          </w:p>
          <w:p w14:paraId="5E01AE65">
            <w:pPr>
              <w:keepNext w:val="0"/>
              <w:keepLines w:val="0"/>
              <w:pageBreakBefore w:val="0"/>
              <w:widowControl/>
              <w:suppressLineNumbers w:val="0"/>
              <w:kinsoku/>
              <w:wordWrap/>
              <w:overflowPunct/>
              <w:topLinePunct w:val="0"/>
              <w:autoSpaceDE/>
              <w:autoSpaceDN/>
              <w:bidi w:val="0"/>
              <w:adjustRightInd/>
              <w:snapToGrid/>
              <w:spacing w:after="220" w:afterAutospacing="0" w:line="400" w:lineRule="exact"/>
              <w:ind w:left="4662" w:hanging="4620" w:hangingChars="210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分管教学领导签字：</w:t>
            </w:r>
            <w:r>
              <w:rPr>
                <w:rFonts w:hint="default" w:ascii="Times New Roman" w:hAnsi="Times New Roman" w:eastAsia="宋体" w:cs="Times New Roman"/>
                <w:i w:val="0"/>
                <w:iCs w:val="0"/>
                <w:color w:val="000000"/>
                <w:kern w:val="0"/>
                <w:sz w:val="22"/>
                <w:szCs w:val="22"/>
                <w:u w:val="none"/>
                <w:lang w:val="en-US" w:eastAsia="zh-CN"/>
              </w:rPr>
              <w:t xml:space="preserve">  </w:t>
            </w:r>
            <w:r>
              <w:rPr>
                <w:rFonts w:hint="eastAsia" w:ascii="Times New Roman" w:hAnsi="Times New Roman" w:eastAsia="宋体" w:cs="Times New Roman"/>
                <w:i w:val="0"/>
                <w:iCs w:val="0"/>
                <w:color w:val="000000"/>
                <w:kern w:val="0"/>
                <w:sz w:val="22"/>
                <w:szCs w:val="22"/>
                <w:u w:val="none"/>
                <w:lang w:val="en-US" w:eastAsia="zh-CN"/>
              </w:rPr>
              <w:t xml:space="preserve">                                                          </w:t>
            </w:r>
            <w:r>
              <w:rPr>
                <w:rFonts w:hint="default" w:ascii="Times New Roman" w:hAnsi="Times New Roman" w:eastAsia="宋体" w:cs="Times New Roman"/>
                <w:i w:val="0"/>
                <w:iCs w:val="0"/>
                <w:color w:val="000000"/>
                <w:kern w:val="0"/>
                <w:sz w:val="22"/>
                <w:szCs w:val="22"/>
                <w:u w:val="none"/>
                <w:lang w:val="en-US" w:eastAsia="zh-CN"/>
              </w:rPr>
              <w:t xml:space="preserve">                                                                                                    (</w:t>
            </w:r>
            <w:r>
              <w:rPr>
                <w:rFonts w:hint="eastAsia" w:ascii="宋体" w:hAnsi="宋体" w:eastAsia="宋体" w:cs="宋体"/>
                <w:i w:val="0"/>
                <w:iCs w:val="0"/>
                <w:color w:val="000000"/>
                <w:kern w:val="0"/>
                <w:sz w:val="22"/>
                <w:szCs w:val="22"/>
                <w:u w:val="none"/>
                <w:lang w:val="en-US" w:eastAsia="zh-CN"/>
              </w:rPr>
              <w:t>公章）</w:t>
            </w:r>
            <w:r>
              <w:rPr>
                <w:rFonts w:hint="default" w:ascii="Times New Roman" w:hAnsi="Times New Roman" w:eastAsia="宋体" w:cs="Times New Roman"/>
                <w:i w:val="0"/>
                <w:iCs w:val="0"/>
                <w:color w:val="000000"/>
                <w:kern w:val="0"/>
                <w:sz w:val="22"/>
                <w:szCs w:val="22"/>
                <w:u w:val="none"/>
                <w:lang w:val="en-US" w:eastAsia="zh-CN"/>
              </w:rPr>
              <w:t xml:space="preserve">                                                                                                </w:t>
            </w:r>
            <w:r>
              <w:rPr>
                <w:rFonts w:hint="eastAsia" w:ascii="宋体" w:hAnsi="宋体" w:eastAsia="宋体" w:cs="宋体"/>
                <w:i w:val="0"/>
                <w:iCs w:val="0"/>
                <w:color w:val="000000"/>
                <w:kern w:val="0"/>
                <w:sz w:val="22"/>
                <w:szCs w:val="22"/>
                <w:u w:val="none"/>
                <w:lang w:val="en-US" w:eastAsia="zh-CN"/>
              </w:rPr>
              <w:t>年</w:t>
            </w:r>
            <w:r>
              <w:rPr>
                <w:rFonts w:hint="default" w:ascii="Times New Roman" w:hAnsi="Times New Roman" w:eastAsia="宋体" w:cs="Times New Roman"/>
                <w:i w:val="0"/>
                <w:iCs w:val="0"/>
                <w:color w:val="000000"/>
                <w:kern w:val="0"/>
                <w:sz w:val="22"/>
                <w:szCs w:val="22"/>
                <w:u w:val="none"/>
                <w:lang w:val="en-US" w:eastAsia="zh-CN"/>
              </w:rPr>
              <w:t xml:space="preserve">       </w:t>
            </w:r>
            <w:r>
              <w:rPr>
                <w:rFonts w:hint="eastAsia" w:ascii="宋体" w:hAnsi="宋体" w:eastAsia="宋体" w:cs="宋体"/>
                <w:i w:val="0"/>
                <w:iCs w:val="0"/>
                <w:color w:val="000000"/>
                <w:kern w:val="0"/>
                <w:sz w:val="22"/>
                <w:szCs w:val="22"/>
                <w:u w:val="none"/>
                <w:lang w:val="en-US" w:eastAsia="zh-CN"/>
              </w:rPr>
              <w:t>月</w:t>
            </w:r>
            <w:r>
              <w:rPr>
                <w:rFonts w:hint="default" w:ascii="Times New Roman" w:hAnsi="Times New Roman" w:eastAsia="宋体" w:cs="Times New Roman"/>
                <w:i w:val="0"/>
                <w:iCs w:val="0"/>
                <w:color w:val="000000"/>
                <w:kern w:val="0"/>
                <w:sz w:val="22"/>
                <w:szCs w:val="22"/>
                <w:u w:val="none"/>
                <w:lang w:val="en-US" w:eastAsia="zh-CN"/>
              </w:rPr>
              <w:t xml:space="preserve">        </w:t>
            </w:r>
            <w:r>
              <w:rPr>
                <w:rFonts w:hint="eastAsia" w:ascii="宋体" w:hAnsi="宋体" w:eastAsia="宋体" w:cs="宋体"/>
                <w:i w:val="0"/>
                <w:iCs w:val="0"/>
                <w:color w:val="000000"/>
                <w:kern w:val="0"/>
                <w:sz w:val="22"/>
                <w:szCs w:val="22"/>
                <w:u w:val="none"/>
                <w:lang w:val="en-US" w:eastAsia="zh-CN"/>
              </w:rPr>
              <w:t>日</w:t>
            </w:r>
            <w:r>
              <w:rPr>
                <w:rFonts w:hint="default" w:ascii="Times New Roman" w:hAnsi="Times New Roman" w:eastAsia="宋体" w:cs="Times New Roman"/>
                <w:i w:val="0"/>
                <w:iCs w:val="0"/>
                <w:color w:val="000000"/>
                <w:kern w:val="0"/>
                <w:sz w:val="22"/>
                <w:szCs w:val="22"/>
                <w:u w:val="none"/>
                <w:lang w:val="en-US" w:eastAsia="zh-CN"/>
              </w:rPr>
              <w:t xml:space="preserve">                          </w:t>
            </w:r>
          </w:p>
        </w:tc>
      </w:tr>
      <w:tr w14:paraId="69849D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0" w:hRule="atLeast"/>
        </w:trPr>
        <w:tc>
          <w:tcPr>
            <w:tcW w:w="1585" w:type="dxa"/>
            <w:vMerge w:val="continue"/>
            <w:tcBorders>
              <w:top w:val="single" w:color="000000" w:sz="4" w:space="0"/>
              <w:left w:val="single" w:color="000000" w:sz="4" w:space="0"/>
              <w:bottom w:val="single" w:color="000000" w:sz="4" w:space="0"/>
              <w:right w:val="single" w:color="000000" w:sz="4" w:space="0"/>
            </w:tcBorders>
            <w:textDirection w:val="tbRlV"/>
            <w:vAlign w:val="center"/>
          </w:tcPr>
          <w:p w14:paraId="6E124676">
            <w:pPr>
              <w:jc w:val="center"/>
              <w:rPr>
                <w:rFonts w:hint="eastAsia" w:ascii="宋体" w:hAnsi="宋体" w:eastAsia="宋体" w:cs="宋体"/>
                <w:i w:val="0"/>
                <w:iCs w:val="0"/>
                <w:color w:val="000000"/>
                <w:sz w:val="22"/>
                <w:szCs w:val="22"/>
                <w:u w:val="none"/>
              </w:rPr>
            </w:pPr>
          </w:p>
        </w:tc>
        <w:tc>
          <w:tcPr>
            <w:tcW w:w="7835" w:type="dxa"/>
            <w:gridSpan w:val="7"/>
            <w:vMerge w:val="continue"/>
            <w:tcBorders>
              <w:top w:val="single" w:color="000000" w:sz="4" w:space="0"/>
              <w:left w:val="single" w:color="000000" w:sz="4" w:space="0"/>
              <w:bottom w:val="single" w:color="000000" w:sz="4" w:space="0"/>
              <w:right w:val="single" w:color="000000" w:sz="4" w:space="0"/>
            </w:tcBorders>
            <w:vAlign w:val="center"/>
          </w:tcPr>
          <w:p w14:paraId="5ECE17DC">
            <w:pPr>
              <w:jc w:val="left"/>
              <w:rPr>
                <w:rFonts w:hint="eastAsia" w:ascii="宋体" w:hAnsi="宋体" w:eastAsia="宋体" w:cs="宋体"/>
                <w:i w:val="0"/>
                <w:iCs w:val="0"/>
                <w:color w:val="000000"/>
                <w:sz w:val="22"/>
                <w:szCs w:val="22"/>
                <w:u w:val="none"/>
              </w:rPr>
            </w:pPr>
          </w:p>
        </w:tc>
      </w:tr>
      <w:tr w14:paraId="3C5E9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1" w:hRule="atLeast"/>
        </w:trPr>
        <w:tc>
          <w:tcPr>
            <w:tcW w:w="9420" w:type="dxa"/>
            <w:gridSpan w:val="8"/>
            <w:tcBorders>
              <w:top w:val="single" w:color="000000" w:sz="4" w:space="0"/>
              <w:left w:val="single" w:color="000000" w:sz="4" w:space="0"/>
              <w:bottom w:val="single" w:color="000000" w:sz="4" w:space="0"/>
              <w:right w:val="single" w:color="000000" w:sz="4" w:space="0"/>
            </w:tcBorders>
            <w:vAlign w:val="center"/>
          </w:tcPr>
          <w:p w14:paraId="284F087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rPr>
            </w:pPr>
            <w:r>
              <w:rPr>
                <w:rFonts w:hint="default" w:ascii="Times New Roman" w:hAnsi="Times New Roman" w:eastAsia="宋体" w:cs="Times New Roman"/>
                <w:i w:val="0"/>
                <w:iCs w:val="0"/>
                <w:color w:val="000000"/>
                <w:kern w:val="0"/>
                <w:sz w:val="22"/>
                <w:szCs w:val="22"/>
                <w:u w:val="none"/>
                <w:lang w:val="en-US" w:eastAsia="zh-CN"/>
              </w:rPr>
              <w:t>1.</w:t>
            </w:r>
            <w:r>
              <w:rPr>
                <w:rFonts w:hint="eastAsia" w:ascii="宋体" w:hAnsi="宋体" w:eastAsia="宋体" w:cs="宋体"/>
                <w:i w:val="0"/>
                <w:iCs w:val="0"/>
                <w:color w:val="000000"/>
                <w:kern w:val="0"/>
                <w:sz w:val="22"/>
                <w:szCs w:val="22"/>
                <w:u w:val="none"/>
                <w:lang w:val="en-US" w:eastAsia="zh-CN"/>
              </w:rPr>
              <w:t>凡涉及学籍异动学生均需填写此表。</w:t>
            </w:r>
          </w:p>
          <w:p w14:paraId="4461EB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rPr>
            </w:pPr>
            <w:r>
              <w:rPr>
                <w:rFonts w:hint="default" w:ascii="Times New Roman" w:hAnsi="Times New Roman" w:eastAsia="宋体" w:cs="Times New Roman"/>
                <w:i w:val="0"/>
                <w:iCs w:val="0"/>
                <w:color w:val="000000"/>
                <w:kern w:val="0"/>
                <w:sz w:val="22"/>
                <w:szCs w:val="22"/>
                <w:u w:val="none"/>
                <w:lang w:val="en-US" w:eastAsia="zh-CN"/>
              </w:rPr>
              <w:t>2.</w:t>
            </w:r>
            <w:r>
              <w:rPr>
                <w:rFonts w:hint="eastAsia" w:ascii="宋体" w:hAnsi="宋体" w:eastAsia="宋体" w:cs="宋体"/>
                <w:i w:val="0"/>
                <w:iCs w:val="0"/>
                <w:color w:val="000000"/>
                <w:kern w:val="0"/>
                <w:sz w:val="22"/>
                <w:szCs w:val="22"/>
                <w:u w:val="none"/>
                <w:lang w:val="en-US" w:eastAsia="zh-CN"/>
              </w:rPr>
              <w:t>此表一式三份，学生本人、二级学院、教务处各存一份。</w:t>
            </w:r>
          </w:p>
          <w:p w14:paraId="348D21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rPr>
              <w:t>3.</w:t>
            </w:r>
            <w:r>
              <w:rPr>
                <w:rFonts w:hint="eastAsia" w:ascii="宋体" w:hAnsi="宋体" w:eastAsia="宋体" w:cs="宋体"/>
                <w:i w:val="0"/>
                <w:iCs w:val="0"/>
                <w:color w:val="000000"/>
                <w:kern w:val="0"/>
                <w:sz w:val="22"/>
                <w:szCs w:val="22"/>
                <w:u w:val="none"/>
                <w:lang w:val="en-US" w:eastAsia="zh-CN"/>
              </w:rPr>
              <w:t>此表可复印。</w:t>
            </w:r>
          </w:p>
        </w:tc>
      </w:tr>
    </w:tbl>
    <w:p w14:paraId="362F0FC2">
      <w:pPr>
        <w:spacing w:line="640" w:lineRule="exact"/>
        <w:jc w:val="left"/>
        <w:rPr>
          <w:rFonts w:hint="eastAsia" w:ascii="仿宋_GB2312" w:hAnsi="仿宋" w:eastAsia="仿宋_GB2312" w:cs="宋体"/>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2A01D55-CA96-4FE1-AE16-801BF1B5F7B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135EEC47-12DB-406B-A8E8-B9B69B65D64D}"/>
  </w:font>
  <w:font w:name="仿宋">
    <w:panose1 w:val="02010609060101010101"/>
    <w:charset w:val="86"/>
    <w:family w:val="auto"/>
    <w:pitch w:val="default"/>
    <w:sig w:usb0="800002BF" w:usb1="38CF7CFA" w:usb2="00000016" w:usb3="00000000" w:csb0="00040001" w:csb1="00000000"/>
    <w:embedRegular r:id="rId3" w:fontKey="{3DA7A282-2992-49E4-89CE-F98969D454FE}"/>
  </w:font>
  <w:font w:name="方正仿宋_GBK">
    <w:panose1 w:val="02000000000000000000"/>
    <w:charset w:val="86"/>
    <w:family w:val="auto"/>
    <w:pitch w:val="default"/>
    <w:sig w:usb0="A00002BF" w:usb1="38CF7CFA" w:usb2="00082016" w:usb3="00000000" w:csb0="00040001" w:csb1="00000000"/>
    <w:embedRegular r:id="rId4" w:fontKey="{DA55993D-E758-4905-A2BA-0BB685E3673D}"/>
  </w:font>
  <w:font w:name="Wingdings 2">
    <w:panose1 w:val="05020102010507070707"/>
    <w:charset w:val="02"/>
    <w:family w:val="auto"/>
    <w:pitch w:val="default"/>
    <w:sig w:usb0="00000000" w:usb1="00000000" w:usb2="00000000" w:usb3="00000000" w:csb0="80000000" w:csb1="00000000"/>
    <w:embedRegular r:id="rId5" w:fontKey="{C0FB526F-39E9-4FA2-8443-0B5631257BE7}"/>
  </w:font>
  <w:font w:name="WPSEMBED1">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7EB940">
    <w:pPr>
      <w:pStyle w:val="3"/>
      <w:jc w:val="right"/>
      <w:rPr>
        <w:rFonts w:ascii="宋体" w:hAnsi="宋体" w:eastAsia="宋体"/>
        <w:sz w:val="28"/>
        <w:szCs w:val="28"/>
      </w:rPr>
    </w:pPr>
    <w:r>
      <w:rPr>
        <w:sz w:val="28"/>
      </w:rP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098" name="文本框 7"/>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55FC7A9A">
                          <w:pPr>
                            <w:pStyle w:val="3"/>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- 3 -</w:t>
                          </w:r>
                          <w:r>
                            <w:rPr>
                              <w:rFonts w:hint="eastAsia" w:ascii="宋体" w:hAnsi="宋体" w:eastAsia="宋体" w:cs="宋体"/>
                              <w:sz w:val="28"/>
                              <w:szCs w:val="28"/>
                              <w:lang w:eastAsia="zh-CN"/>
                            </w:rPr>
                            <w:fldChar w:fldCharType="end"/>
                          </w:r>
                        </w:p>
                      </w:txbxContent>
                    </wps:txbx>
                    <wps:bodyPr wrap="none" lIns="0" tIns="0" rIns="0" bIns="0" upright="0">
                      <a:spAutoFit/>
                    </wps:bodyPr>
                  </wps:wsp>
                </a:graphicData>
              </a:graphic>
            </wp:anchor>
          </w:drawing>
        </mc:Choice>
        <mc:Fallback>
          <w:pict>
            <v:rect id="文本框 7"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Ll1uVLQAAAABQEAAA8AAAAAAAAAAQAgAAAAIgAAAGRycy9kb3ducmV2LnhtbFBLAQIU&#10;ABQAAAAIAIdO4kCtK5H3wgEAAIcDAAAOAAAAAAAAAAEAIAAAAB8BAABkcnMvZTJvRG9jLnhtbFBL&#10;BQYAAAAABgAGAFkBAABTBQAAAAA=&#10;">
              <v:fill on="f" focussize="0,0"/>
              <v:stroke on="f"/>
              <v:imagedata o:title=""/>
              <o:lock v:ext="edit" aspectratio="f"/>
              <v:textbox inset="0mm,0mm,0mm,0mm" style="mso-fit-shape-to-text:t;">
                <w:txbxContent>
                  <w:p w14:paraId="55FC7A9A">
                    <w:pPr>
                      <w:pStyle w:val="3"/>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- 3 -</w:t>
                    </w:r>
                    <w:r>
                      <w:rPr>
                        <w:rFonts w:hint="eastAsia" w:ascii="宋体" w:hAnsi="宋体" w:eastAsia="宋体" w:cs="宋体"/>
                        <w:sz w:val="28"/>
                        <w:szCs w:val="28"/>
                        <w:lang w:eastAsia="zh-CN"/>
                      </w:rPr>
                      <w:fldChar w:fldCharType="end"/>
                    </w:r>
                  </w:p>
                </w:txbxContent>
              </v:textbox>
            </v:rect>
          </w:pict>
        </mc:Fallback>
      </mc:AlternateContent>
    </w:r>
  </w:p>
  <w:p w14:paraId="3224DB4D">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4DA9B">
    <w:pPr>
      <w:pStyle w:val="3"/>
      <w:rPr>
        <w:rFonts w:ascii="宋体" w:hAnsi="宋体" w:eastAsia="宋体"/>
        <w:sz w:val="28"/>
        <w:szCs w:val="28"/>
      </w:rPr>
    </w:pPr>
    <w:r>
      <w:rPr>
        <w:sz w:val="28"/>
      </w:rP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097" name="文本框 6"/>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4DDA9AFD">
                          <w:pPr>
                            <w:pStyle w:val="3"/>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- 2 -</w:t>
                          </w:r>
                          <w:r>
                            <w:rPr>
                              <w:rFonts w:hint="eastAsia" w:ascii="宋体" w:hAnsi="宋体" w:eastAsia="宋体" w:cs="宋体"/>
                              <w:sz w:val="28"/>
                              <w:szCs w:val="28"/>
                              <w:lang w:eastAsia="zh-CN"/>
                            </w:rPr>
                            <w:fldChar w:fldCharType="end"/>
                          </w:r>
                        </w:p>
                      </w:txbxContent>
                    </wps:txbx>
                    <wps:bodyPr wrap="none" lIns="0" tIns="0" rIns="0" bIns="0" upright="0">
                      <a:spAutoFit/>
                    </wps:bodyPr>
                  </wps:wsp>
                </a:graphicData>
              </a:graphic>
            </wp:anchor>
          </w:drawing>
        </mc:Choice>
        <mc:Fallback>
          <w:pict>
            <v:rect id="文本框 6"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M8LclMMBAACHAwAADgAAAAAAAAABACAAAAAfAQAAZHJzL2Uyb0RvYy54bWxQ&#10;SwUGAAAAAAYABgBZAQAAVAUAAAAA&#10;">
              <v:fill on="f" focussize="0,0"/>
              <v:stroke on="f"/>
              <v:imagedata o:title=""/>
              <o:lock v:ext="edit" aspectratio="f"/>
              <v:textbox inset="0mm,0mm,0mm,0mm" style="mso-fit-shape-to-text:t;">
                <w:txbxContent>
                  <w:p w14:paraId="4DDA9AFD">
                    <w:pPr>
                      <w:pStyle w:val="3"/>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- 2 -</w:t>
                    </w:r>
                    <w:r>
                      <w:rPr>
                        <w:rFonts w:hint="eastAsia" w:ascii="宋体" w:hAnsi="宋体" w:eastAsia="宋体" w:cs="宋体"/>
                        <w:sz w:val="28"/>
                        <w:szCs w:val="28"/>
                        <w:lang w:eastAsia="zh-CN"/>
                      </w:rPr>
                      <w:fldChar w:fldCharType="end"/>
                    </w:r>
                  </w:p>
                </w:txbxContent>
              </v:textbox>
            </v:rect>
          </w:pict>
        </mc:Fallback>
      </mc:AlternateContent>
    </w:r>
  </w:p>
  <w:p w14:paraId="4188D62C">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BFAC30">
    <w:pPr>
      <w:pStyle w:val="3"/>
    </w:pPr>
    <w:r>
      <mc:AlternateContent>
        <mc:Choice Requires="wps">
          <w:drawing>
            <wp:anchor distT="0" distB="0" distL="0" distR="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4099" name="文本框 4"/>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5180528A">
                          <w:pPr>
                            <w:pStyle w:val="3"/>
                            <w:rPr>
                              <w:rFonts w:hint="eastAsia"/>
                            </w:rPr>
                          </w:pPr>
                          <w:r>
                            <w:rPr>
                              <w:rFonts w:hint="eastAsia"/>
                            </w:rPr>
                            <w:fldChar w:fldCharType="begin"/>
                          </w:r>
                          <w:r>
                            <w:rPr>
                              <w:rFonts w:hint="eastAsia"/>
                            </w:rPr>
                            <w:instrText xml:space="preserve"> PAGE  \* MERGEFORMAT </w:instrText>
                          </w:r>
                          <w:r>
                            <w:rPr>
                              <w:rFonts w:hint="eastAsia"/>
                            </w:rPr>
                            <w:fldChar w:fldCharType="separate"/>
                          </w:r>
                          <w:r>
                            <w:t>- 1 -</w:t>
                          </w:r>
                          <w:r>
                            <w:rPr>
                              <w:rFonts w:hint="eastAsia"/>
                            </w:rPr>
                            <w:fldChar w:fldCharType="end"/>
                          </w:r>
                        </w:p>
                      </w:txbxContent>
                    </wps:txbx>
                    <wps:bodyPr wrap="none" lIns="0" tIns="0" rIns="0" bIns="0" upright="0">
                      <a:spAutoFit/>
                    </wps:bodyPr>
                  </wps:wsp>
                </a:graphicData>
              </a:graphic>
            </wp:anchor>
          </w:drawing>
        </mc:Choice>
        <mc:Fallback>
          <w:pict>
            <v:rect id="文本框 4" o:spid="_x0000_s1026" o:spt="1"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cgf8tsMBAACHAwAADgAAAAAAAAABACAAAAAfAQAAZHJzL2Uyb0RvYy54bWxQ&#10;SwUGAAAAAAYABgBZAQAAVAUAAAAA&#10;">
              <v:fill on="f" focussize="0,0"/>
              <v:stroke on="f"/>
              <v:imagedata o:title=""/>
              <o:lock v:ext="edit" aspectratio="f"/>
              <v:textbox inset="0mm,0mm,0mm,0mm" style="mso-fit-shape-to-text:t;">
                <w:txbxContent>
                  <w:p w14:paraId="5180528A">
                    <w:pPr>
                      <w:pStyle w:val="3"/>
                      <w:rPr>
                        <w:rFonts w:hint="eastAsia"/>
                      </w:rPr>
                    </w:pPr>
                    <w:r>
                      <w:rPr>
                        <w:rFonts w:hint="eastAsia"/>
                      </w:rPr>
                      <w:fldChar w:fldCharType="begin"/>
                    </w:r>
                    <w:r>
                      <w:rPr>
                        <w:rFonts w:hint="eastAsia"/>
                      </w:rPr>
                      <w:instrText xml:space="preserve"> PAGE  \* MERGEFORMAT </w:instrText>
                    </w:r>
                    <w:r>
                      <w:rPr>
                        <w:rFonts w:hint="eastAsia"/>
                      </w:rPr>
                      <w:fldChar w:fldCharType="separate"/>
                    </w:r>
                    <w:r>
                      <w:t>- 1 -</w:t>
                    </w:r>
                    <w:r>
                      <w:rPr>
                        <w:rFonts w:hint="eastAsia"/>
                      </w:rPr>
                      <w:fldChar w:fldCharType="end"/>
                    </w:r>
                  </w:p>
                </w:txbxContent>
              </v:textbox>
            </v:rect>
          </w:pict>
        </mc:Fallback>
      </mc:AlternateContent>
    </w:r>
    <w:r>
      <mc:AlternateContent>
        <mc:Choice Requires="wps">
          <w:drawing>
            <wp:anchor distT="0" distB="0" distL="0" distR="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4100" name="文本框 5"/>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48CEE953">
                          <w:pPr>
                            <w:pStyle w:val="3"/>
                          </w:pPr>
                        </w:p>
                      </w:txbxContent>
                    </wps:txbx>
                    <wps:bodyPr wrap="none" lIns="0" tIns="0" rIns="0" bIns="0" upright="0">
                      <a:spAutoFit/>
                    </wps:bodyPr>
                  </wps:wsp>
                </a:graphicData>
              </a:graphic>
            </wp:anchor>
          </w:drawing>
        </mc:Choice>
        <mc:Fallback>
          <w:pict>
            <v:rect id="文本框 5" o:spid="_x0000_s1026" o:spt="1"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uXW5UtAAAAAFAQAADwAAAAAAAAABACAAAAAiAAAAZHJzL2Rvd25yZXYueG1sUEsBAhQA&#10;FAAAAAgAh07iQPtMIePBAQAAhwMAAA4AAAAAAAAAAQAgAAAAHwEAAGRycy9lMm9Eb2MueG1sUEsF&#10;BgAAAAAGAAYAWQEAAFIFAAAAAA==&#10;">
              <v:fill on="f" focussize="0,0"/>
              <v:stroke on="f"/>
              <v:imagedata o:title=""/>
              <o:lock v:ext="edit" aspectratio="f"/>
              <v:textbox inset="0mm,0mm,0mm,0mm" style="mso-fit-shape-to-text:t;">
                <w:txbxContent>
                  <w:p w14:paraId="48CEE953">
                    <w:pPr>
                      <w:pStyle w:val="3"/>
                    </w:pP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21743C1"/>
    <w:rsid w:val="736104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rPr>
  </w:style>
  <w:style w:type="character" w:default="1" w:styleId="5">
    <w:name w:val="Default Paragraph Font"/>
    <w:qFormat/>
    <w:uiPriority w:val="0"/>
  </w:style>
  <w:style w:type="table" w:default="1" w:styleId="4">
    <w:name w:val="Normal Table"/>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kern w:val="0"/>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2642</Words>
  <Characters>2865</Characters>
  <Paragraphs>183</Paragraphs>
  <TotalTime>8</TotalTime>
  <ScaleCrop>false</ScaleCrop>
  <LinksUpToDate>false</LinksUpToDate>
  <CharactersWithSpaces>3544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2024-07-07T11:20:00Z</dcterms:created>
  <dc:creator>Administrator</dc:creator>
  <cp:lastModifiedBy>欧朝超</cp:lastModifiedBy>
  <dcterms:modified xsi:type="dcterms:W3CDTF">2026-03-01T03:05:59Z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4338a5b6a7e64fc69c7f85b4964c6dac_23</vt:lpwstr>
  </property>
  <property fmtid="{D5CDD505-2E9C-101B-9397-08002B2CF9AE}" pid="4" name="KSOTemplateDocerSaveRecord">
    <vt:lpwstr>eyJoZGlkIjoiMzUzOWY4MTQxMWM4NDhiZGM1MDIxYzBlZGQ2ZmY2NmIiLCJ1c2VySWQiOiI0ODQ1MTQ1NzQifQ==</vt:lpwstr>
  </property>
</Properties>
</file>